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 w:val="0"/>
        <w:shd w:val="clear" w:color="auto" w:fill="FFFFFF"/>
        <w:tabs>
          <w:tab w:val="left" w:pos="2977"/>
        </w:tabs>
        <w:kinsoku/>
        <w:wordWrap/>
        <w:overflowPunct/>
        <w:topLinePunct w:val="0"/>
        <w:autoSpaceDE/>
        <w:autoSpaceDN/>
        <w:bidi w:val="0"/>
        <w:adjustRightInd/>
        <w:snapToGrid w:val="0"/>
        <w:spacing w:beforeAutospacing="0" w:afterAutospacing="0" w:line="580" w:lineRule="exact"/>
        <w:jc w:val="left"/>
        <w:textAlignment w:val="auto"/>
        <w:rPr>
          <w:rFonts w:hint="eastAsia" w:ascii="黑体" w:hAnsi="黑体" w:eastAsia="黑体" w:cs="黑体"/>
          <w:color w:val="000000"/>
          <w:spacing w:val="0"/>
          <w:sz w:val="32"/>
          <w:szCs w:val="32"/>
          <w:lang w:val="en" w:eastAsia="zh-CN"/>
        </w:rPr>
      </w:pPr>
      <w:r>
        <w:rPr>
          <w:rFonts w:hint="eastAsia" w:ascii="黑体" w:hAnsi="黑体" w:eastAsia="黑体" w:cs="黑体"/>
          <w:color w:val="000000"/>
          <w:spacing w:val="0"/>
          <w:sz w:val="32"/>
          <w:szCs w:val="32"/>
          <w:lang w:val="en" w:eastAsia="zh-CN"/>
        </w:rPr>
        <w:t>附件</w:t>
      </w:r>
    </w:p>
    <w:p>
      <w:pPr>
        <w:pStyle w:val="7"/>
        <w:shd w:val="clear" w:color="auto" w:fill="FFFFFF"/>
        <w:tabs>
          <w:tab w:val="left" w:pos="2977"/>
        </w:tabs>
        <w:snapToGrid w:val="0"/>
        <w:spacing w:beforeAutospacing="0" w:afterAutospacing="0" w:line="540" w:lineRule="exact"/>
        <w:jc w:val="center"/>
        <w:rPr>
          <w:rFonts w:hint="default" w:ascii="方正小标宋_GBK" w:hAnsi="方正小标宋_GBK" w:eastAsia="方正小标宋_GBK" w:cs="方正小标宋_GBK"/>
          <w:color w:val="000000"/>
          <w:spacing w:val="-11"/>
          <w:sz w:val="44"/>
          <w:szCs w:val="44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color w:val="000000"/>
          <w:spacing w:val="-11"/>
          <w:sz w:val="44"/>
          <w:szCs w:val="44"/>
        </w:rPr>
        <w:t>第</w:t>
      </w:r>
      <w:r>
        <w:rPr>
          <w:rFonts w:hint="eastAsia" w:ascii="方正小标宋_GBK" w:hAnsi="方正小标宋_GBK" w:eastAsia="方正小标宋_GBK" w:cs="方正小标宋_GBK"/>
          <w:color w:val="000000"/>
          <w:spacing w:val="-11"/>
          <w:sz w:val="44"/>
          <w:szCs w:val="44"/>
          <w:lang w:eastAsia="zh-CN"/>
        </w:rPr>
        <w:t>四</w:t>
      </w:r>
      <w:r>
        <w:rPr>
          <w:rFonts w:hint="eastAsia" w:ascii="方正小标宋_GBK" w:hAnsi="方正小标宋_GBK" w:eastAsia="方正小标宋_GBK" w:cs="方正小标宋_GBK"/>
          <w:color w:val="000000"/>
          <w:spacing w:val="-11"/>
          <w:sz w:val="44"/>
          <w:szCs w:val="44"/>
        </w:rPr>
        <w:t>批河南省中试基地服务清单</w:t>
      </w:r>
      <w:r>
        <w:rPr>
          <w:rFonts w:hint="eastAsia" w:ascii="方正小标宋_GBK" w:hAnsi="方正小标宋_GBK" w:eastAsia="方正小标宋_GBK" w:cs="方正小标宋_GBK"/>
          <w:color w:val="000000"/>
          <w:spacing w:val="-11"/>
          <w:sz w:val="44"/>
          <w:szCs w:val="44"/>
          <w:lang w:eastAsia="zh-CN"/>
        </w:rPr>
        <w:t>（</w:t>
      </w:r>
      <w:r>
        <w:rPr>
          <w:rFonts w:hint="eastAsia" w:ascii="方正小标宋_GBK" w:hAnsi="方正小标宋_GBK" w:eastAsia="方正小标宋_GBK" w:cs="方正小标宋_GBK"/>
          <w:color w:val="000000"/>
          <w:spacing w:val="-11"/>
          <w:sz w:val="44"/>
          <w:szCs w:val="44"/>
          <w:lang w:val="en-US" w:eastAsia="zh-CN"/>
        </w:rPr>
        <w:t>三门峡市）</w:t>
      </w:r>
    </w:p>
    <w:tbl>
      <w:tblPr>
        <w:tblStyle w:val="9"/>
        <w:tblW w:w="4959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637"/>
        <w:gridCol w:w="965"/>
        <w:gridCol w:w="1108"/>
        <w:gridCol w:w="1171"/>
        <w:gridCol w:w="1026"/>
        <w:gridCol w:w="4530"/>
        <w:gridCol w:w="43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599" w:hRule="atLeast"/>
          <w:tblHeader/>
          <w:jc w:val="center"/>
        </w:trPr>
        <w:tc>
          <w:tcPr>
            <w:tcW w:w="231" w:type="pc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44"/>
                <w:sz w:val="24"/>
                <w:szCs w:val="24"/>
              </w:rPr>
              <w:t>序号</w:t>
            </w:r>
          </w:p>
        </w:tc>
        <w:tc>
          <w:tcPr>
            <w:tcW w:w="350" w:type="pc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44"/>
                <w:sz w:val="24"/>
                <w:szCs w:val="24"/>
              </w:rPr>
              <w:t>中试基地名称</w:t>
            </w:r>
          </w:p>
        </w:tc>
        <w:tc>
          <w:tcPr>
            <w:tcW w:w="402" w:type="pc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44"/>
                <w:sz w:val="24"/>
                <w:szCs w:val="24"/>
              </w:rPr>
              <w:t>依托</w:t>
            </w:r>
          </w:p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44"/>
                <w:sz w:val="24"/>
                <w:szCs w:val="24"/>
              </w:rPr>
              <w:t>单位</w:t>
            </w:r>
          </w:p>
        </w:tc>
        <w:tc>
          <w:tcPr>
            <w:tcW w:w="425" w:type="pc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44"/>
                <w:sz w:val="24"/>
                <w:szCs w:val="24"/>
              </w:rPr>
              <w:t>所属领域</w:t>
            </w:r>
          </w:p>
        </w:tc>
        <w:tc>
          <w:tcPr>
            <w:tcW w:w="372" w:type="pct"/>
            <w:noWrap w:val="0"/>
            <w:vAlign w:val="center"/>
          </w:tcPr>
          <w:p>
            <w:pPr>
              <w:jc w:val="center"/>
              <w:rPr>
                <w:rFonts w:hint="eastAsia" w:ascii="Times New Roman" w:hAnsi="Times New Roman" w:eastAsia="仿宋_GB2312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hint="eastAsia" w:ascii="Times New Roman" w:hAnsi="Times New Roman" w:eastAsia="仿宋_GB2312"/>
                <w:b/>
                <w:bCs/>
                <w:color w:val="000000"/>
                <w:kern w:val="44"/>
                <w:sz w:val="24"/>
                <w:szCs w:val="24"/>
              </w:rPr>
              <w:t>所在地</w:t>
            </w:r>
          </w:p>
        </w:tc>
        <w:tc>
          <w:tcPr>
            <w:tcW w:w="1644" w:type="pc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44"/>
                <w:sz w:val="24"/>
                <w:szCs w:val="24"/>
              </w:rPr>
              <w:t>现有基础</w:t>
            </w:r>
          </w:p>
        </w:tc>
        <w:tc>
          <w:tcPr>
            <w:tcW w:w="1574" w:type="pct"/>
            <w:noWrap w:val="0"/>
            <w:vAlign w:val="center"/>
          </w:tcPr>
          <w:p>
            <w:pPr>
              <w:jc w:val="center"/>
              <w:rPr>
                <w:rFonts w:ascii="Times New Roman" w:hAnsi="Times New Roman" w:eastAsia="仿宋_GB2312"/>
                <w:b/>
                <w:bCs/>
                <w:color w:val="000000"/>
                <w:kern w:val="44"/>
                <w:sz w:val="24"/>
                <w:szCs w:val="24"/>
              </w:rPr>
            </w:pPr>
            <w:r>
              <w:rPr>
                <w:rFonts w:ascii="Times New Roman" w:hAnsi="Times New Roman" w:eastAsia="仿宋_GB2312"/>
                <w:b/>
                <w:bCs/>
                <w:color w:val="000000"/>
                <w:kern w:val="44"/>
                <w:sz w:val="24"/>
                <w:szCs w:val="24"/>
              </w:rPr>
              <w:t>服务清单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282" w:hRule="atLeast"/>
          <w:jc w:val="center"/>
        </w:trPr>
        <w:tc>
          <w:tcPr>
            <w:tcW w:w="231" w:type="pct"/>
            <w:noWrap w:val="0"/>
            <w:vAlign w:val="center"/>
          </w:tcPr>
          <w:p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b w:val="0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等线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等线" w:eastAsia="仿宋_GB2312"/>
                <w:color w:val="000000"/>
                <w:sz w:val="24"/>
                <w:szCs w:val="24"/>
              </w:rPr>
              <w:t>河南省超纯</w:t>
            </w:r>
            <w:r>
              <w:rPr>
                <w:rFonts w:hint="eastAsia" w:ascii="仿宋_GB2312" w:hAnsi="仿宋_GB2312" w:eastAsia="仿宋_GB2312" w:cs="仿宋_GB2312"/>
                <w:sz w:val="24"/>
                <w:szCs w:val="24"/>
              </w:rPr>
              <w:t>矿物新材料中试基地</w:t>
            </w:r>
          </w:p>
        </w:tc>
        <w:tc>
          <w:tcPr>
            <w:tcW w:w="40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等线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等线" w:eastAsia="仿宋_GB2312"/>
                <w:color w:val="000000"/>
                <w:sz w:val="24"/>
                <w:szCs w:val="24"/>
              </w:rPr>
              <w:t>河南省地质研究院</w:t>
            </w:r>
          </w:p>
        </w:tc>
        <w:tc>
          <w:tcPr>
            <w:tcW w:w="425" w:type="pct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44"/>
                <w:sz w:val="24"/>
                <w:szCs w:val="24"/>
                <w:lang w:eastAsia="zh-CN"/>
              </w:rPr>
              <w:t>矿物新材料</w:t>
            </w:r>
          </w:p>
        </w:tc>
        <w:tc>
          <w:tcPr>
            <w:tcW w:w="372" w:type="pc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color w:val="000000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color w:val="000000"/>
                <w:sz w:val="24"/>
              </w:rPr>
              <w:t>三门峡市</w:t>
            </w:r>
          </w:p>
        </w:tc>
        <w:tc>
          <w:tcPr>
            <w:tcW w:w="1644" w:type="pct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20" w:lineRule="exact"/>
              <w:ind w:firstLine="480" w:firstLineChars="200"/>
              <w:jc w:val="left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z w:val="24"/>
              </w:rPr>
              <w:t>基地场地及配套设施面积8000平方米，包括多种功能的中、小型实验室，超净实验室，各类中试生产和检测等设备200余套，总价值1.4亿元。</w:t>
            </w:r>
            <w:r>
              <w:rPr>
                <w:rFonts w:hint="eastAsia" w:ascii="Times New Roman" w:hAnsi="Times New Roman" w:eastAsia="仿宋_GB2312"/>
                <w:sz w:val="24"/>
              </w:rPr>
              <w:t>现有</w:t>
            </w:r>
            <w:r>
              <w:rPr>
                <w:rFonts w:ascii="Times New Roman" w:hAnsi="Times New Roman" w:eastAsia="仿宋_GB2312"/>
                <w:sz w:val="24"/>
              </w:rPr>
              <w:t>5条中试实验线，配有专业人才共40名，专业人才队伍结构合理，可组织制定科学合理的中试熟化方案和规程，能够完成中试验证的总体方案设计、工艺设计、中试熟化等工作。中试基地承担了各类中试服务，总合同额度达到了2000万元。</w:t>
            </w:r>
          </w:p>
        </w:tc>
        <w:tc>
          <w:tcPr>
            <w:tcW w:w="1574" w:type="pct"/>
            <w:noWrap w:val="0"/>
            <w:vAlign w:val="center"/>
          </w:tcPr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1</w:t>
            </w:r>
            <w:r>
              <w:rPr>
                <w:rFonts w:ascii="Times New Roman" w:hAnsi="Times New Roman" w:eastAsia="仿宋_GB2312"/>
                <w:sz w:val="24"/>
              </w:rPr>
              <w:t>.</w:t>
            </w:r>
            <w:r>
              <w:rPr>
                <w:rFonts w:hint="eastAsia" w:ascii="Times New Roman" w:hAnsi="Times New Roman" w:eastAsia="仿宋_GB2312"/>
                <w:sz w:val="24"/>
              </w:rPr>
              <w:t>高纯石英材料及制品的研发和中试；</w:t>
            </w:r>
          </w:p>
          <w:p>
            <w:pPr>
              <w:pStyle w:val="2"/>
              <w:spacing w:after="0" w:line="360" w:lineRule="exact"/>
              <w:rPr>
                <w:rFonts w:ascii="Times New Roman" w:hAnsi="Times New Roman" w:eastAsia="仿宋_GB2312"/>
                <w:kern w:val="2"/>
                <w:szCs w:val="22"/>
              </w:rPr>
            </w:pPr>
            <w:r>
              <w:rPr>
                <w:rFonts w:ascii="Times New Roman" w:hAnsi="Times New Roman" w:eastAsia="仿宋_GB2312"/>
                <w:kern w:val="2"/>
                <w:szCs w:val="22"/>
              </w:rPr>
              <w:t>2.</w:t>
            </w:r>
            <w:r>
              <w:rPr>
                <w:rFonts w:hint="eastAsia" w:ascii="Times New Roman" w:hAnsi="Times New Roman" w:eastAsia="仿宋_GB2312"/>
                <w:kern w:val="2"/>
                <w:szCs w:val="22"/>
              </w:rPr>
              <w:t>超纯非金属材料及制品的研发和中试；</w:t>
            </w:r>
          </w:p>
          <w:p>
            <w:pPr>
              <w:spacing w:line="3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sz w:val="24"/>
              </w:rPr>
              <w:t>3</w:t>
            </w:r>
            <w:r>
              <w:rPr>
                <w:rFonts w:ascii="Times New Roman" w:hAnsi="Times New Roman" w:eastAsia="仿宋_GB2312"/>
                <w:sz w:val="24"/>
              </w:rPr>
              <w:t>.</w:t>
            </w:r>
            <w:r>
              <w:rPr>
                <w:rFonts w:hint="eastAsia" w:ascii="Times New Roman" w:hAnsi="Times New Roman" w:eastAsia="仿宋_GB2312"/>
                <w:sz w:val="24"/>
              </w:rPr>
              <w:t>超纯“三稀”金属材料及制品的研发和中试；</w:t>
            </w:r>
          </w:p>
          <w:p>
            <w:pPr>
              <w:pStyle w:val="2"/>
              <w:spacing w:after="0" w:line="360" w:lineRule="exact"/>
              <w:rPr>
                <w:rFonts w:ascii="Times New Roman" w:hAnsi="Times New Roman" w:eastAsia="仿宋_GB2312"/>
                <w:sz w:val="24"/>
              </w:rPr>
            </w:pPr>
            <w:r>
              <w:rPr>
                <w:rFonts w:hint="eastAsia" w:ascii="Times New Roman" w:hAnsi="Times New Roman" w:eastAsia="仿宋_GB2312"/>
                <w:kern w:val="2"/>
                <w:szCs w:val="22"/>
              </w:rPr>
              <w:t>4</w:t>
            </w:r>
            <w:r>
              <w:rPr>
                <w:rFonts w:ascii="Times New Roman" w:hAnsi="Times New Roman" w:eastAsia="仿宋_GB2312"/>
                <w:kern w:val="2"/>
                <w:szCs w:val="22"/>
              </w:rPr>
              <w:t>.</w:t>
            </w:r>
            <w:r>
              <w:rPr>
                <w:rFonts w:hint="eastAsia" w:ascii="Times New Roman" w:hAnsi="Times New Roman" w:eastAsia="仿宋_GB2312"/>
                <w:sz w:val="24"/>
              </w:rPr>
              <w:t>矿物新材料性能分析检测；</w:t>
            </w:r>
          </w:p>
          <w:p>
            <w:pPr>
              <w:pStyle w:val="2"/>
              <w:spacing w:after="0" w:line="360" w:lineRule="exact"/>
              <w:rPr>
                <w:rFonts w:ascii="Times New Roman" w:hAnsi="Times New Roman" w:eastAsia="仿宋_GB2312"/>
                <w:kern w:val="2"/>
                <w:szCs w:val="22"/>
              </w:rPr>
            </w:pPr>
            <w:r>
              <w:rPr>
                <w:rFonts w:hint="default" w:ascii="Times New Roman" w:hAnsi="Times New Roman" w:eastAsia="仿宋_GB2312"/>
                <w:kern w:val="2"/>
                <w:szCs w:val="22"/>
                <w:lang w:val="en"/>
              </w:rPr>
              <w:t>5</w:t>
            </w:r>
            <w:r>
              <w:rPr>
                <w:rFonts w:ascii="Times New Roman" w:hAnsi="Times New Roman" w:eastAsia="仿宋_GB2312"/>
                <w:kern w:val="2"/>
                <w:szCs w:val="22"/>
              </w:rPr>
              <w:t>.</w:t>
            </w:r>
            <w:r>
              <w:rPr>
                <w:rFonts w:hint="eastAsia" w:ascii="Times New Roman" w:hAnsi="Times New Roman" w:eastAsia="仿宋_GB2312"/>
                <w:kern w:val="2"/>
                <w:szCs w:val="22"/>
              </w:rPr>
              <w:t>矿物新材料工艺改进及中试服务；</w:t>
            </w:r>
          </w:p>
          <w:p>
            <w:pPr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default" w:ascii="Times New Roman" w:hAnsi="Times New Roman" w:eastAsia="仿宋_GB2312"/>
                <w:sz w:val="24"/>
                <w:lang w:val="en"/>
              </w:rPr>
              <w:t>6</w:t>
            </w:r>
            <w:r>
              <w:rPr>
                <w:rFonts w:ascii="Times New Roman" w:hAnsi="Times New Roman" w:eastAsia="仿宋_GB2312"/>
                <w:sz w:val="24"/>
              </w:rPr>
              <w:t>.</w:t>
            </w:r>
            <w:r>
              <w:rPr>
                <w:rFonts w:hint="eastAsia" w:ascii="Times New Roman" w:hAnsi="Times New Roman" w:eastAsia="仿宋_GB2312"/>
                <w:sz w:val="24"/>
              </w:rPr>
              <w:t>矿物新材料样品试制、试用、产品示范及中试服务。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3314" w:hRule="atLeast"/>
          <w:jc w:val="center"/>
        </w:trPr>
        <w:tc>
          <w:tcPr>
            <w:tcW w:w="231" w:type="pct"/>
            <w:noWrap w:val="0"/>
            <w:vAlign w:val="center"/>
          </w:tcPr>
          <w:p>
            <w:pPr>
              <w:pStyle w:val="3"/>
              <w:adjustRightInd w:val="0"/>
              <w:snapToGrid w:val="0"/>
              <w:spacing w:before="0" w:beforeAutospacing="0" w:after="0" w:afterAutospacing="0"/>
              <w:jc w:val="center"/>
              <w:rPr>
                <w:rFonts w:hint="default" w:ascii="Times New Roman" w:hAnsi="Times New Roman" w:eastAsia="仿宋_GB2312" w:cs="Times New Roman"/>
                <w:b w:val="0"/>
                <w:bCs/>
                <w:color w:val="000000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b w:val="0"/>
                <w:bCs/>
                <w:color w:val="000000"/>
                <w:kern w:val="44"/>
                <w:sz w:val="24"/>
                <w:szCs w:val="24"/>
                <w:lang w:val="en-US" w:eastAsia="zh-CN" w:bidi="ar-SA"/>
              </w:rPr>
              <w:t>2</w:t>
            </w:r>
          </w:p>
        </w:tc>
        <w:tc>
          <w:tcPr>
            <w:tcW w:w="350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等线" w:eastAsia="仿宋_GB2312" w:cs="Times New Roman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等线" w:eastAsia="仿宋_GB2312"/>
                <w:color w:val="000000"/>
                <w:sz w:val="24"/>
                <w:szCs w:val="24"/>
                <w:lang w:val="en-US" w:eastAsia="zh-CN"/>
              </w:rPr>
              <w:t>河南省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花果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酒饮品及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牡丹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  <w:lang w:eastAsia="zh-CN"/>
              </w:rPr>
              <w:t>深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z w:val="24"/>
                <w:szCs w:val="24"/>
              </w:rPr>
              <w:t>加工中试基地</w:t>
            </w:r>
          </w:p>
        </w:tc>
        <w:tc>
          <w:tcPr>
            <w:tcW w:w="402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default" w:ascii="仿宋_GB2312" w:hAnsi="等线" w:eastAsia="仿宋_GB2312" w:cs="Times New Roman"/>
                <w:color w:val="000000"/>
                <w:kern w:val="2"/>
                <w:sz w:val="24"/>
                <w:szCs w:val="24"/>
                <w:lang w:val="zh-CN" w:eastAsia="zh-CN" w:bidi="ar-SA"/>
              </w:rPr>
            </w:pPr>
            <w:r>
              <w:rPr>
                <w:rFonts w:hint="eastAsia" w:ascii="仿宋_GB2312" w:hAnsi="等线" w:eastAsia="仿宋_GB2312"/>
                <w:color w:val="000000"/>
                <w:sz w:val="24"/>
                <w:szCs w:val="24"/>
                <w:lang w:val="en-US" w:eastAsia="zh-CN"/>
              </w:rPr>
              <w:t>牡仙牡丹产业集团有限公司</w:t>
            </w:r>
          </w:p>
        </w:tc>
        <w:tc>
          <w:tcPr>
            <w:tcW w:w="425" w:type="pct"/>
            <w:noWrap w:val="0"/>
            <w:vAlign w:val="center"/>
          </w:tcPr>
          <w:p>
            <w:pPr>
              <w:tabs>
                <w:tab w:val="center" w:pos="4153"/>
                <w:tab w:val="right" w:pos="8306"/>
              </w:tabs>
              <w:snapToGrid w:val="0"/>
              <w:jc w:val="center"/>
              <w:rPr>
                <w:rFonts w:ascii="Times New Roman" w:hAnsi="Times New Roman" w:eastAsia="仿宋_GB2312" w:cs="Times New Roman"/>
                <w:color w:val="000000"/>
                <w:kern w:val="44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color w:val="000000"/>
                <w:kern w:val="44"/>
                <w:sz w:val="24"/>
                <w:szCs w:val="24"/>
                <w:lang w:eastAsia="zh-CN"/>
              </w:rPr>
              <w:t>酒饮品及牡丹深加工</w:t>
            </w:r>
          </w:p>
        </w:tc>
        <w:tc>
          <w:tcPr>
            <w:tcW w:w="372" w:type="pct"/>
            <w:noWrap w:val="0"/>
            <w:vAlign w:val="center"/>
          </w:tcPr>
          <w:p>
            <w:pPr>
              <w:spacing w:line="360" w:lineRule="exact"/>
              <w:jc w:val="center"/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z w:val="24"/>
              </w:rPr>
              <w:t>三门峡市</w:t>
            </w:r>
          </w:p>
        </w:tc>
        <w:tc>
          <w:tcPr>
            <w:tcW w:w="1644" w:type="pc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40" w:lineRule="exact"/>
              <w:ind w:firstLine="480" w:firstLineChars="200"/>
              <w:jc w:val="both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ascii="Times New Roman" w:hAnsi="Times New Roman" w:eastAsia="仿宋_GB2312"/>
                <w:sz w:val="24"/>
              </w:rPr>
              <w:t>基地拥有13000平方米中试场地，各类中试生产和检测等设备100余套，建成了8条中试实验线，配有管理、技术及生产人员共89人，拥有32人的专业化中试人员队伍。完成企业委托开发项目18项，开发了20余项牡丹深加工生产技术，累计获得科技成果转化费用2500余万元；孵化企业5家，产生直接经济效益超过3亿元，有力推动了河南省牡丹产业的发展。</w:t>
            </w:r>
          </w:p>
        </w:tc>
        <w:tc>
          <w:tcPr>
            <w:tcW w:w="1574" w:type="pct"/>
            <w:noWrap w:val="0"/>
            <w:vAlign w:val="center"/>
          </w:tcPr>
          <w:p>
            <w:pPr>
              <w:spacing w:line="360" w:lineRule="exact"/>
              <w:jc w:val="both"/>
              <w:rPr>
                <w:rFonts w:hint="eastAsia" w:ascii="Times New Roman" w:hAnsi="Times New Roman" w:eastAsia="仿宋_GB231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1.花果酒产品中试服务；</w:t>
            </w:r>
          </w:p>
          <w:p>
            <w:pPr>
              <w:spacing w:line="360" w:lineRule="exact"/>
              <w:jc w:val="both"/>
              <w:rPr>
                <w:rFonts w:hint="eastAsia" w:ascii="Times New Roman" w:hAnsi="Times New Roman" w:eastAsia="仿宋_GB231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2.白酒产品中试服务；</w:t>
            </w:r>
          </w:p>
          <w:p>
            <w:pPr>
              <w:spacing w:line="360" w:lineRule="exact"/>
              <w:jc w:val="both"/>
              <w:rPr>
                <w:rFonts w:hint="eastAsia" w:ascii="Times New Roman" w:hAnsi="Times New Roman" w:eastAsia="仿宋_GB231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3.花果饮料产品中试服务；</w:t>
            </w:r>
          </w:p>
          <w:p>
            <w:pPr>
              <w:spacing w:line="360" w:lineRule="exact"/>
              <w:jc w:val="both"/>
              <w:rPr>
                <w:rFonts w:hint="eastAsia" w:ascii="Times New Roman" w:hAnsi="Times New Roman" w:eastAsia="仿宋_GB231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4.花果茶产品中试服务；</w:t>
            </w:r>
          </w:p>
          <w:p>
            <w:pPr>
              <w:spacing w:line="360" w:lineRule="exact"/>
              <w:jc w:val="both"/>
              <w:rPr>
                <w:rFonts w:hint="eastAsia" w:ascii="Times New Roman" w:hAnsi="Times New Roman" w:eastAsia="仿宋_GB231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5.牡丹籽油及其他小众油料产品中试服务；</w:t>
            </w:r>
          </w:p>
          <w:p>
            <w:pPr>
              <w:spacing w:line="360" w:lineRule="exact"/>
              <w:jc w:val="both"/>
              <w:rPr>
                <w:rFonts w:hint="eastAsia" w:ascii="Times New Roman" w:hAnsi="Times New Roman" w:eastAsia="仿宋_GB2312"/>
                <w:sz w:val="24"/>
                <w:lang w:val="en-US" w:eastAsia="zh-CN"/>
              </w:rPr>
            </w:pP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6.花果功能性食品产品中试服务；</w:t>
            </w:r>
          </w:p>
          <w:p>
            <w:pPr>
              <w:spacing w:line="360" w:lineRule="exact"/>
              <w:jc w:val="both"/>
              <w:rPr>
                <w:rFonts w:hint="eastAsia" w:ascii="Times New Roman" w:hAnsi="Times New Roman" w:eastAsia="仿宋_GB2312" w:cs="Times New Roman"/>
                <w:kern w:val="2"/>
                <w:sz w:val="24"/>
                <w:szCs w:val="22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7.牡丹化妆品产品中</w:t>
            </w:r>
            <w:bookmarkStart w:id="0" w:name="_GoBack"/>
            <w:bookmarkEnd w:id="0"/>
            <w:r>
              <w:rPr>
                <w:rFonts w:hint="eastAsia" w:ascii="Times New Roman" w:hAnsi="Times New Roman" w:eastAsia="仿宋_GB2312"/>
                <w:sz w:val="24"/>
                <w:lang w:val="en-US" w:eastAsia="zh-CN"/>
              </w:rPr>
              <w:t>试服务。</w:t>
            </w:r>
          </w:p>
        </w:tc>
      </w:tr>
    </w:tbl>
    <w:p/>
    <w:sectPr>
      <w:pgSz w:w="16838" w:h="11906" w:orient="landscape"/>
      <w:pgMar w:top="1531" w:right="1531" w:bottom="1474" w:left="1474" w:header="851" w:footer="992" w:gutter="0"/>
      <w:cols w:space="720" w:num="1"/>
      <w:rtlGutter w:val="0"/>
      <w:docGrid w:type="lines" w:linePitch="317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_GBK">
    <w:altName w:val="微软雅黑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等线">
    <w:altName w:val="微软雅黑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hyphenationZone w:val="36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0NWM0N2EwNDM5ZjkwYWM4NDRmMTcwNmFhMTFmNTcifQ=="/>
  </w:docVars>
  <w:rsids>
    <w:rsidRoot w:val="8FFF2DD3"/>
    <w:rsid w:val="2E594EE3"/>
    <w:rsid w:val="349D6EC7"/>
    <w:rsid w:val="4B627CE6"/>
    <w:rsid w:val="4E1C61EC"/>
    <w:rsid w:val="4FFD6725"/>
    <w:rsid w:val="72FF4785"/>
    <w:rsid w:val="77103365"/>
    <w:rsid w:val="8FFF2DD3"/>
    <w:rsid w:val="B55F80B0"/>
    <w:rsid w:val="B5FA0533"/>
    <w:rsid w:val="D39D3C63"/>
    <w:rsid w:val="D7E3B51E"/>
    <w:rsid w:val="F6F7217F"/>
    <w:rsid w:val="F87B0DA0"/>
    <w:rsid w:val="FB872B3B"/>
    <w:rsid w:val="FE7F414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99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3">
    <w:name w:val="heading 1"/>
    <w:basedOn w:val="1"/>
    <w:next w:val="1"/>
    <w:autoRedefine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Times New Roman"/>
      <w:b/>
      <w:bCs/>
      <w:kern w:val="44"/>
      <w:sz w:val="48"/>
      <w:szCs w:val="48"/>
    </w:rPr>
  </w:style>
  <w:style w:type="character" w:default="1" w:styleId="11">
    <w:name w:val="Default Paragraph Font"/>
    <w:autoRedefine/>
    <w:semiHidden/>
    <w:qFormat/>
    <w:uiPriority w:val="0"/>
  </w:style>
  <w:style w:type="table" w:default="1" w:styleId="9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autoRedefine/>
    <w:qFormat/>
    <w:uiPriority w:val="99"/>
    <w:pPr>
      <w:spacing w:after="120"/>
    </w:pPr>
    <w:rPr>
      <w:rFonts w:ascii="Calibri" w:hAnsi="Calibri" w:eastAsia="宋体" w:cs="Times New Roman"/>
      <w:kern w:val="0"/>
      <w:sz w:val="24"/>
      <w:szCs w:val="20"/>
    </w:rPr>
  </w:style>
  <w:style w:type="paragraph" w:styleId="4">
    <w:name w:val="Body Text Indent"/>
    <w:basedOn w:val="1"/>
    <w:autoRedefine/>
    <w:qFormat/>
    <w:uiPriority w:val="0"/>
    <w:pPr>
      <w:tabs>
        <w:tab w:val="left" w:pos="3600"/>
      </w:tabs>
      <w:ind w:left="-359" w:leftChars="-171" w:firstLine="675" w:firstLineChars="211"/>
    </w:pPr>
    <w:rPr>
      <w:rFonts w:ascii="仿宋_GB2312" w:eastAsia="仿宋_GB2312"/>
      <w:sz w:val="32"/>
    </w:rPr>
  </w:style>
  <w:style w:type="paragraph" w:styleId="5">
    <w:name w:val="Block Text"/>
    <w:basedOn w:val="1"/>
    <w:autoRedefine/>
    <w:qFormat/>
    <w:uiPriority w:val="0"/>
    <w:pPr>
      <w:spacing w:line="480" w:lineRule="exact"/>
      <w:ind w:left="100" w:right="111" w:firstLine="556"/>
    </w:pPr>
    <w:rPr>
      <w:sz w:val="28"/>
      <w:szCs w:val="20"/>
    </w:rPr>
  </w:style>
  <w:style w:type="paragraph" w:styleId="6">
    <w:name w:val="HTML Preformatted"/>
    <w:basedOn w:val="1"/>
    <w:autoRedefine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7">
    <w:name w:val="Normal (Web)"/>
    <w:basedOn w:val="1"/>
    <w:autoRedefine/>
    <w:qFormat/>
    <w:uiPriority w:val="99"/>
    <w:pPr>
      <w:spacing w:beforeAutospacing="1" w:afterAutospacing="1"/>
      <w:jc w:val="left"/>
    </w:pPr>
    <w:rPr>
      <w:rFonts w:cs="Times New Roman"/>
      <w:kern w:val="0"/>
      <w:sz w:val="24"/>
    </w:rPr>
  </w:style>
  <w:style w:type="paragraph" w:styleId="8">
    <w:name w:val="Body Text First Indent 2"/>
    <w:basedOn w:val="4"/>
    <w:autoRedefine/>
    <w:qFormat/>
    <w:uiPriority w:val="0"/>
    <w:pPr>
      <w:ind w:firstLine="420" w:firstLineChars="200"/>
    </w:pPr>
  </w:style>
  <w:style w:type="table" w:styleId="10">
    <w:name w:val="Table Grid"/>
    <w:basedOn w:val="9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customStyle="1" w:styleId="12">
    <w:name w:val="正文1"/>
    <w:basedOn w:val="2"/>
    <w:autoRedefine/>
    <w:qFormat/>
    <w:uiPriority w:val="0"/>
    <w:pPr>
      <w:tabs>
        <w:tab w:val="left" w:pos="2250"/>
      </w:tabs>
      <w:spacing w:line="500" w:lineRule="exact"/>
      <w:ind w:firstLine="200" w:firstLineChars="200"/>
    </w:pPr>
    <w:rPr>
      <w:sz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12</TotalTime>
  <ScaleCrop>false</ScaleCrop>
  <LinksUpToDate>false</LinksUpToDate>
  <CharactersWithSpaces>0</CharactersWithSpaces>
  <Application>WPS Office_12.1.0.16399_F1E327BC-269C-435d-A152-05C5408002CA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2024-01-29T08:37:00Z</dcterms:created>
  <dc:creator> </dc:creator>
  <cp:lastModifiedBy>技术范（博）          besos</cp:lastModifiedBy>
  <cp:lastPrinted>2024-02-05T01:47:00Z</cp:lastPrinted>
  <dcterms:modified xsi:type="dcterms:W3CDTF">2024-04-29T01:31:47Z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2052-12.1.0.16399</vt:lpwstr>
  </property>
  <property fmtid="{D5CDD505-2E9C-101B-9397-08002B2CF9AE}" pid="3" name="ICV">
    <vt:lpwstr>97BDA0432C984650BFD669E7902495D8_13</vt:lpwstr>
  </property>
</Properties>
</file>