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b w:val="0"/>
          <w:bCs w:val="0"/>
          <w:i w:val="0"/>
          <w:caps w:val="0"/>
          <w:color w:val="000000"/>
          <w:spacing w:val="0"/>
          <w:sz w:val="32"/>
          <w:szCs w:val="32"/>
          <w:lang w:val="en-US" w:eastAsia="zh-CN"/>
        </w:rPr>
      </w:pPr>
      <w:r>
        <w:rPr>
          <w:rFonts w:hint="eastAsia" w:ascii="黑体" w:hAnsi="黑体" w:eastAsia="黑体" w:cs="黑体"/>
          <w:b w:val="0"/>
          <w:bCs w:val="0"/>
          <w:i w:val="0"/>
          <w:caps w:val="0"/>
          <w:color w:val="000000"/>
          <w:spacing w:val="0"/>
          <w:sz w:val="32"/>
          <w:szCs w:val="32"/>
          <w:lang w:val="en-US" w:eastAsia="zh-CN"/>
        </w:rPr>
        <w:t>附件：</w:t>
      </w:r>
      <w:bookmarkStart w:id="0" w:name="_GoBack"/>
      <w:bookmarkEnd w:id="0"/>
    </w:p>
    <w:p>
      <w:pPr>
        <w:jc w:val="center"/>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i w:val="0"/>
          <w:caps w:val="0"/>
          <w:color w:val="000000"/>
          <w:spacing w:val="0"/>
          <w:sz w:val="32"/>
          <w:szCs w:val="32"/>
        </w:rPr>
        <w:t>三门峡市软科学研究项目2023年集中结项名单</w:t>
      </w:r>
    </w:p>
    <w:tbl>
      <w:tblPr>
        <w:tblStyle w:val="2"/>
        <w:tblW w:w="13458" w:type="dxa"/>
        <w:tblInd w:w="3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94"/>
        <w:gridCol w:w="2060"/>
        <w:gridCol w:w="6013"/>
        <w:gridCol w:w="1717"/>
        <w:gridCol w:w="21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7"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序号</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val="en-US" w:eastAsia="zh-CN"/>
              </w:rPr>
              <w:t>立项编号</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名称</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承担单位</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验收结果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2020040301</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地方政府债务绩效管理研究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三门峡市财政局</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2020040302</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依托高校大师工作室的非遗文化传承与可持续发展研究—以三门峡南沟剪纸为例 </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2020040303</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三门峡市现代物流业转型发展的路径研究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2020040304</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三门峡市科技金融创新发展的路径研究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2020040305</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三门峡市建筑业可持续发展系统评价与仿真研究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2020040306</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三门峡地区戏曲文化数字化转型发展研究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2020040307</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BIM技术在房地产项目施工成本控制中的运用研究 </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2020040308</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基于BIM技术的装配式住宅建筑装饰装修一体化设计研究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2020040309</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三门峡地域文化融入养老建筑的设计研究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10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2020040310</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三门峡非物质文化遗产在城市建设中的数字化传承与创新研究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11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2020040312</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三门峡高校科技创新推动地方高质量发展的对策研究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2020040313</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三门峡市乡村振兴与新型城镇化协同推进问题研究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13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2020040314</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三门峡高质量转型发展中黄河文化的保护与利对策研究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2020040315</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三门峡市特色农产品新媒体营销技术创新问题研究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2020040316</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河南省黄河流域生态保护和高质量发展研究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三门峡职业技术学院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6"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2020040317</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新型冠状病毒肺炎疫情期间医务人员压力性损伤现况分析及对策研究</w:t>
            </w: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三门峡市中心医院</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9"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2019060613</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基于成人学习理论的院校联合临床护理人员科研能力培训模式的构建及效果评价</w:t>
            </w: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三门峡市中心医院 </w:t>
            </w:r>
          </w:p>
        </w:tc>
        <w:tc>
          <w:tcPr>
            <w:tcW w:w="21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0NWM0N2EwNDM5ZjkwYWM4NDRmMTcwNmFhMTFmNTcifQ=="/>
  </w:docVars>
  <w:rsids>
    <w:rsidRoot w:val="00000000"/>
    <w:rsid w:val="1CBE6A4F"/>
    <w:rsid w:val="33A40060"/>
    <w:rsid w:val="58433566"/>
    <w:rsid w:val="5AA84A93"/>
    <w:rsid w:val="6BB11D76"/>
    <w:rsid w:val="775E2685"/>
    <w:rsid w:val="78977B66"/>
    <w:rsid w:val="7CCD2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2023-09-12T00:38:00Z</dcterms:created>
  <dc:creator>Administrator</dc:creator>
  <cp:lastModifiedBy>王凯丰</cp:lastModifiedBy>
  <cp:lastPrinted>2023-09-12T02:28:00Z</cp:lastPrinted>
  <dcterms:modified xsi:type="dcterms:W3CDTF">2023-12-13T01:25:01Z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1F9F813FDFE64A8F9852FC14AED2CE47_13</vt:lpwstr>
  </property>
</Properties>
</file>