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rPr>
          <w:rFonts w:hint="eastAsia" w:ascii="黑体" w:hAnsi="黑体" w:eastAsia="黑体" w:cs="黑体"/>
          <w:sz w:val="52"/>
          <w:szCs w:val="52"/>
        </w:rPr>
      </w:pPr>
      <w:r>
        <w:rPr>
          <w:rFonts w:hint="eastAsia" w:ascii="黑体" w:hAnsi="黑体" w:eastAsia="黑体" w:cs="黑体"/>
          <w:sz w:val="52"/>
          <w:szCs w:val="52"/>
          <w:lang w:eastAsia="zh-CN"/>
        </w:rPr>
        <w:t>2021年</w:t>
      </w:r>
      <w:r>
        <w:rPr>
          <w:rFonts w:hint="eastAsia" w:ascii="黑体" w:hAnsi="黑体" w:eastAsia="黑体" w:cs="黑体"/>
          <w:sz w:val="52"/>
          <w:szCs w:val="52"/>
        </w:rPr>
        <w:t>度三门峡市有色金属质量科学研究所部门决算</w:t>
      </w: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32"/>
          <w:szCs w:val="32"/>
        </w:rPr>
        <w:sectPr>
          <w:pgSz w:w="11906" w:h="16838"/>
          <w:pgMar w:top="1440" w:right="1531" w:bottom="1440" w:left="1587" w:header="850" w:footer="992" w:gutter="0"/>
          <w:pgNumType w:fmt="numberInDash"/>
          <w:cols w:space="720" w:num="1"/>
          <w:docGrid w:type="lines" w:linePitch="317" w:charSpace="0"/>
        </w:sectPr>
      </w:pPr>
      <w:r>
        <w:rPr>
          <w:rFonts w:hint="eastAsia" w:ascii="黑体" w:hAnsi="黑体" w:eastAsia="黑体" w:cs="黑体"/>
          <w:sz w:val="32"/>
          <w:szCs w:val="32"/>
        </w:rPr>
        <w:t>二〇二</w:t>
      </w:r>
      <w:r>
        <w:rPr>
          <w:rFonts w:hint="eastAsia" w:ascii="黑体" w:hAnsi="黑体" w:eastAsia="黑体" w:cs="黑体"/>
          <w:sz w:val="32"/>
          <w:szCs w:val="32"/>
          <w:lang w:eastAsia="zh-CN"/>
        </w:rPr>
        <w:t>二</w:t>
      </w:r>
      <w:r>
        <w:rPr>
          <w:rFonts w:hint="eastAsia" w:ascii="黑体" w:hAnsi="黑体" w:eastAsia="黑体" w:cs="黑体"/>
          <w:sz w:val="32"/>
          <w:szCs w:val="32"/>
        </w:rPr>
        <w:t>年</w:t>
      </w:r>
      <w:r>
        <w:rPr>
          <w:rFonts w:hint="eastAsia" w:ascii="黑体" w:hAnsi="黑体" w:eastAsia="黑体" w:cs="黑体"/>
          <w:sz w:val="32"/>
          <w:szCs w:val="32"/>
          <w:highlight w:val="none"/>
        </w:rPr>
        <w:t>九月</w:t>
      </w:r>
    </w:p>
    <w:p>
      <w:pPr>
        <w:jc w:val="center"/>
        <w:rPr>
          <w:rFonts w:ascii="黑体" w:hAnsi="黑体" w:eastAsia="黑体" w:cs="黑体"/>
          <w:sz w:val="36"/>
          <w:szCs w:val="36"/>
        </w:rPr>
      </w:pPr>
      <w:r>
        <w:rPr>
          <w:rFonts w:hint="eastAsia" w:ascii="黑体" w:hAnsi="黑体" w:eastAsia="黑体" w:cs="黑体"/>
          <w:sz w:val="36"/>
          <w:szCs w:val="36"/>
        </w:rPr>
        <w:t>目　　录</w:t>
      </w:r>
    </w:p>
    <w:p>
      <w:pPr>
        <w:jc w:val="left"/>
        <w:rPr>
          <w:rFonts w:ascii="黑体" w:hAnsi="黑体" w:eastAsia="黑体" w:cs="黑体"/>
          <w:sz w:val="32"/>
          <w:szCs w:val="32"/>
        </w:rPr>
      </w:pPr>
      <w:r>
        <w:rPr>
          <w:rFonts w:hint="eastAsia" w:ascii="黑体" w:hAnsi="黑体" w:eastAsia="黑体" w:cs="黑体"/>
          <w:sz w:val="32"/>
          <w:szCs w:val="32"/>
        </w:rPr>
        <w:t>第一部分　　三门峡市有色金属质量科学研究所概况</w:t>
      </w:r>
    </w:p>
    <w:p>
      <w:pPr>
        <w:numPr>
          <w:ilvl w:val="0"/>
          <w:numId w:val="1"/>
        </w:numPr>
        <w:ind w:firstLine="640" w:firstLineChars="200"/>
        <w:jc w:val="left"/>
        <w:rPr>
          <w:rFonts w:ascii="宋体" w:hAnsi="宋体" w:cs="宋体"/>
          <w:sz w:val="32"/>
          <w:szCs w:val="32"/>
        </w:rPr>
      </w:pPr>
      <w:r>
        <w:rPr>
          <w:rFonts w:hint="eastAsia" w:ascii="宋体" w:hAnsi="宋体" w:cs="宋体"/>
          <w:sz w:val="32"/>
          <w:szCs w:val="32"/>
        </w:rPr>
        <w:t>部门职责</w:t>
      </w:r>
    </w:p>
    <w:p>
      <w:pPr>
        <w:numPr>
          <w:ilvl w:val="0"/>
          <w:numId w:val="1"/>
        </w:numPr>
        <w:ind w:firstLine="640" w:firstLineChars="200"/>
        <w:jc w:val="left"/>
        <w:rPr>
          <w:rFonts w:ascii="宋体" w:hAnsi="宋体" w:cs="宋体"/>
          <w:sz w:val="32"/>
          <w:szCs w:val="32"/>
        </w:rPr>
      </w:pPr>
      <w:r>
        <w:rPr>
          <w:rFonts w:hint="eastAsia" w:ascii="宋体" w:hAnsi="宋体" w:cs="宋体"/>
          <w:sz w:val="32"/>
          <w:szCs w:val="32"/>
        </w:rPr>
        <w:t>机构设置</w:t>
      </w:r>
    </w:p>
    <w:p>
      <w:pPr>
        <w:jc w:val="left"/>
        <w:rPr>
          <w:rFonts w:ascii="黑体" w:hAnsi="黑体" w:eastAsia="黑体" w:cs="黑体"/>
          <w:sz w:val="32"/>
          <w:szCs w:val="32"/>
        </w:rPr>
      </w:pPr>
      <w:r>
        <w:rPr>
          <w:rFonts w:hint="eastAsia" w:ascii="黑体" w:hAnsi="黑体" w:eastAsia="黑体" w:cs="黑体"/>
          <w:sz w:val="32"/>
          <w:szCs w:val="32"/>
        </w:rPr>
        <w:t>第二部分　　</w:t>
      </w:r>
      <w:r>
        <w:rPr>
          <w:rFonts w:hint="eastAsia" w:ascii="黑体" w:hAnsi="黑体" w:eastAsia="黑体" w:cs="黑体"/>
          <w:sz w:val="32"/>
          <w:szCs w:val="32"/>
          <w:lang w:eastAsia="zh-CN"/>
        </w:rPr>
        <w:t>2021年</w:t>
      </w:r>
      <w:r>
        <w:rPr>
          <w:rFonts w:hint="eastAsia" w:ascii="黑体" w:hAnsi="黑体" w:eastAsia="黑体" w:cs="黑体"/>
          <w:sz w:val="32"/>
          <w:szCs w:val="32"/>
        </w:rPr>
        <w:t>度部门决算表</w:t>
      </w:r>
    </w:p>
    <w:p>
      <w:pPr>
        <w:ind w:firstLine="640" w:firstLineChars="200"/>
        <w:jc w:val="left"/>
        <w:rPr>
          <w:rFonts w:ascii="宋体" w:hAnsi="宋体" w:cs="宋体"/>
          <w:sz w:val="32"/>
          <w:szCs w:val="32"/>
        </w:rPr>
      </w:pPr>
      <w:r>
        <w:rPr>
          <w:rFonts w:hint="eastAsia" w:ascii="宋体" w:hAnsi="宋体" w:cs="宋体"/>
          <w:sz w:val="32"/>
          <w:szCs w:val="32"/>
        </w:rPr>
        <w:t>一、收入支出决算总表</w:t>
      </w:r>
    </w:p>
    <w:p>
      <w:pPr>
        <w:ind w:firstLine="640" w:firstLineChars="200"/>
        <w:jc w:val="left"/>
        <w:rPr>
          <w:rFonts w:ascii="宋体" w:hAnsi="宋体" w:cs="宋体"/>
          <w:sz w:val="32"/>
          <w:szCs w:val="32"/>
        </w:rPr>
      </w:pPr>
      <w:r>
        <w:rPr>
          <w:rFonts w:hint="eastAsia" w:ascii="宋体" w:hAnsi="宋体" w:cs="宋体"/>
          <w:sz w:val="32"/>
          <w:szCs w:val="32"/>
        </w:rPr>
        <w:t>二、收入决算表</w:t>
      </w:r>
    </w:p>
    <w:p>
      <w:pPr>
        <w:ind w:firstLine="640" w:firstLineChars="200"/>
        <w:jc w:val="left"/>
        <w:rPr>
          <w:rFonts w:hint="eastAsia" w:ascii="宋体" w:hAnsi="宋体" w:cs="宋体"/>
          <w:sz w:val="32"/>
          <w:szCs w:val="32"/>
        </w:rPr>
      </w:pPr>
      <w:r>
        <w:rPr>
          <w:rFonts w:hint="eastAsia" w:ascii="宋体" w:hAnsi="宋体" w:cs="宋体"/>
          <w:sz w:val="32"/>
          <w:szCs w:val="32"/>
        </w:rPr>
        <w:t>三、支出决算表</w:t>
      </w:r>
    </w:p>
    <w:p>
      <w:pPr>
        <w:ind w:firstLine="640" w:firstLineChars="200"/>
        <w:jc w:val="left"/>
        <w:rPr>
          <w:rFonts w:hint="eastAsia" w:ascii="宋体" w:hAnsi="宋体" w:cs="宋体"/>
          <w:sz w:val="32"/>
          <w:szCs w:val="32"/>
        </w:rPr>
      </w:pPr>
      <w:r>
        <w:rPr>
          <w:rFonts w:hint="eastAsia" w:ascii="宋体" w:hAnsi="宋体" w:cs="宋体"/>
          <w:sz w:val="32"/>
          <w:szCs w:val="32"/>
        </w:rPr>
        <w:t>四、财政拨款收入支出决算总表</w:t>
      </w:r>
    </w:p>
    <w:p>
      <w:pPr>
        <w:ind w:firstLine="640" w:firstLineChars="200"/>
        <w:jc w:val="left"/>
        <w:rPr>
          <w:rFonts w:hint="eastAsia" w:ascii="宋体" w:hAnsi="宋体" w:cs="宋体"/>
          <w:sz w:val="32"/>
          <w:szCs w:val="32"/>
        </w:rPr>
      </w:pPr>
      <w:r>
        <w:rPr>
          <w:rFonts w:hint="eastAsia" w:ascii="宋体" w:hAnsi="宋体" w:cs="宋体"/>
          <w:sz w:val="32"/>
          <w:szCs w:val="32"/>
        </w:rPr>
        <w:t>五、一般公共预算财政拨款支出决算表</w:t>
      </w:r>
    </w:p>
    <w:p>
      <w:pPr>
        <w:ind w:firstLine="640" w:firstLineChars="200"/>
        <w:jc w:val="left"/>
        <w:rPr>
          <w:rFonts w:hint="eastAsia" w:ascii="宋体" w:hAnsi="宋体" w:cs="宋体"/>
          <w:sz w:val="32"/>
          <w:szCs w:val="32"/>
        </w:rPr>
      </w:pPr>
      <w:r>
        <w:rPr>
          <w:rFonts w:hint="eastAsia" w:ascii="宋体" w:hAnsi="宋体" w:cs="宋体"/>
          <w:sz w:val="32"/>
          <w:szCs w:val="32"/>
        </w:rPr>
        <w:t>六、一般公共预算财政拨款基本支出决算表</w:t>
      </w:r>
    </w:p>
    <w:p>
      <w:pPr>
        <w:ind w:firstLine="640" w:firstLineChars="200"/>
        <w:jc w:val="left"/>
        <w:rPr>
          <w:rFonts w:hint="eastAsia" w:ascii="宋体" w:hAnsi="宋体" w:cs="宋体"/>
          <w:sz w:val="32"/>
          <w:szCs w:val="32"/>
        </w:rPr>
      </w:pPr>
      <w:r>
        <w:rPr>
          <w:rFonts w:hint="eastAsia" w:ascii="宋体" w:hAnsi="宋体" w:cs="宋体"/>
          <w:sz w:val="32"/>
          <w:szCs w:val="32"/>
        </w:rPr>
        <w:t>七、一般公共预算财政拨款“三公”经费支出决算表</w:t>
      </w:r>
    </w:p>
    <w:p>
      <w:pPr>
        <w:ind w:firstLine="640" w:firstLineChars="200"/>
        <w:jc w:val="left"/>
        <w:rPr>
          <w:rFonts w:hint="eastAsia" w:ascii="宋体" w:hAnsi="宋体" w:cs="宋体"/>
          <w:sz w:val="32"/>
          <w:szCs w:val="32"/>
        </w:rPr>
      </w:pPr>
      <w:r>
        <w:rPr>
          <w:rFonts w:hint="eastAsia" w:ascii="宋体" w:hAnsi="宋体" w:cs="宋体"/>
          <w:sz w:val="32"/>
          <w:szCs w:val="32"/>
        </w:rPr>
        <w:t>八、政府性基金预算财政拨款收入支出决算表</w:t>
      </w:r>
    </w:p>
    <w:p>
      <w:pPr>
        <w:jc w:val="left"/>
        <w:rPr>
          <w:rFonts w:hint="eastAsia" w:ascii="黑体" w:hAnsi="黑体" w:eastAsia="黑体" w:cs="黑体"/>
          <w:sz w:val="32"/>
          <w:szCs w:val="32"/>
        </w:rPr>
      </w:pPr>
      <w:r>
        <w:rPr>
          <w:rFonts w:hint="eastAsia" w:ascii="黑体" w:hAnsi="黑体" w:eastAsia="黑体" w:cs="黑体"/>
          <w:sz w:val="32"/>
          <w:szCs w:val="32"/>
        </w:rPr>
        <w:t>第三部分　　</w:t>
      </w:r>
      <w:r>
        <w:rPr>
          <w:rFonts w:hint="eastAsia" w:ascii="黑体" w:hAnsi="黑体" w:eastAsia="黑体" w:cs="黑体"/>
          <w:sz w:val="32"/>
          <w:szCs w:val="32"/>
          <w:lang w:eastAsia="zh-CN"/>
        </w:rPr>
        <w:t>2021年</w:t>
      </w:r>
      <w:r>
        <w:rPr>
          <w:rFonts w:hint="eastAsia" w:ascii="黑体" w:hAnsi="黑体" w:eastAsia="黑体" w:cs="黑体"/>
          <w:sz w:val="32"/>
          <w:szCs w:val="32"/>
        </w:rPr>
        <w:t>度部门决算情况说明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一、收入支出决算总体情况说明</w:t>
      </w:r>
    </w:p>
    <w:p>
      <w:pPr>
        <w:ind w:firstLine="640" w:firstLineChars="200"/>
        <w:jc w:val="left"/>
        <w:rPr>
          <w:rFonts w:hint="eastAsia" w:ascii="宋体" w:hAnsi="宋体" w:cs="宋体"/>
          <w:sz w:val="32"/>
          <w:szCs w:val="32"/>
        </w:rPr>
      </w:pPr>
      <w:r>
        <w:rPr>
          <w:rFonts w:hint="eastAsia" w:ascii="宋体" w:hAnsi="宋体" w:cs="宋体"/>
          <w:sz w:val="32"/>
          <w:szCs w:val="32"/>
        </w:rPr>
        <w:t>二、收入决算情况说明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三、支出决算情况说明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四、财政拨款收入支出决算总体情况说明</w:t>
      </w:r>
    </w:p>
    <w:p>
      <w:pPr>
        <w:ind w:firstLine="640" w:firstLineChars="200"/>
        <w:jc w:val="left"/>
        <w:rPr>
          <w:rFonts w:hint="eastAsia" w:ascii="宋体" w:hAnsi="宋体" w:cs="宋体"/>
          <w:sz w:val="32"/>
          <w:szCs w:val="32"/>
        </w:rPr>
      </w:pPr>
      <w:r>
        <w:rPr>
          <w:rFonts w:hint="eastAsia" w:ascii="宋体" w:hAnsi="宋体" w:cs="宋体"/>
          <w:sz w:val="32"/>
          <w:szCs w:val="32"/>
        </w:rPr>
        <w:t>五、一般公共预算财政拨款支出决算情况说明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六、一般公共预算财政拨款基本支出决算情况说明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七、一般公共预算财政拨款“三公”经费支出决算情况说明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八、预算绩效情况说明</w:t>
      </w:r>
    </w:p>
    <w:p>
      <w:pPr>
        <w:ind w:firstLine="640" w:firstLineChars="200"/>
        <w:jc w:val="left"/>
        <w:rPr>
          <w:rFonts w:hint="eastAsia" w:ascii="宋体" w:hAnsi="宋体" w:cs="宋体"/>
          <w:sz w:val="32"/>
          <w:szCs w:val="32"/>
        </w:rPr>
      </w:pPr>
      <w:r>
        <w:rPr>
          <w:rFonts w:hint="eastAsia" w:ascii="宋体" w:hAnsi="宋体" w:cs="宋体"/>
          <w:sz w:val="32"/>
          <w:szCs w:val="32"/>
        </w:rPr>
        <w:t>九、政府性基金预算财政拨款支出决算情况说明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十、机关运行经费支出情况说明</w:t>
      </w:r>
    </w:p>
    <w:p>
      <w:pPr>
        <w:ind w:firstLine="640" w:firstLineChars="200"/>
        <w:jc w:val="left"/>
        <w:rPr>
          <w:rFonts w:hint="eastAsia" w:ascii="宋体" w:hAnsi="宋体" w:cs="宋体"/>
          <w:sz w:val="32"/>
          <w:szCs w:val="32"/>
        </w:rPr>
      </w:pPr>
      <w:r>
        <w:rPr>
          <w:rFonts w:hint="eastAsia" w:ascii="宋体" w:hAnsi="宋体" w:cs="宋体"/>
          <w:sz w:val="32"/>
          <w:szCs w:val="32"/>
        </w:rPr>
        <w:t>十一、政府采购支出情况说明</w:t>
      </w:r>
    </w:p>
    <w:p>
      <w:pPr>
        <w:ind w:firstLine="640" w:firstLineChars="200"/>
        <w:jc w:val="left"/>
        <w:rPr>
          <w:rFonts w:hint="eastAsia" w:ascii="宋体" w:hAnsi="宋体" w:cs="宋体"/>
          <w:sz w:val="32"/>
          <w:szCs w:val="32"/>
        </w:rPr>
      </w:pPr>
      <w:r>
        <w:rPr>
          <w:rFonts w:hint="eastAsia" w:ascii="宋体" w:hAnsi="宋体" w:cs="宋体"/>
          <w:sz w:val="32"/>
          <w:szCs w:val="32"/>
        </w:rPr>
        <w:t>十二、国有资产占用情况说明</w:t>
      </w:r>
    </w:p>
    <w:p>
      <w:pPr>
        <w:jc w:val="left"/>
        <w:rPr>
          <w:rFonts w:hint="eastAsia" w:ascii="黑体" w:hAnsi="黑体" w:eastAsia="黑体" w:cs="黑体"/>
          <w:sz w:val="32"/>
          <w:szCs w:val="32"/>
        </w:rPr>
      </w:pPr>
      <w:r>
        <w:rPr>
          <w:rFonts w:hint="eastAsia" w:ascii="黑体" w:hAnsi="黑体" w:eastAsia="黑体" w:cs="黑体"/>
          <w:sz w:val="32"/>
          <w:szCs w:val="32"/>
        </w:rPr>
        <w:t>第四部分　　名词解释</w:t>
      </w:r>
    </w:p>
    <w:p>
      <w:pPr>
        <w:ind w:firstLine="640" w:firstLineChars="200"/>
        <w:jc w:val="left"/>
        <w:rPr>
          <w:rFonts w:ascii="宋体" w:hAnsi="宋体" w:cs="宋体"/>
          <w:sz w:val="32"/>
          <w:szCs w:val="32"/>
        </w:rPr>
      </w:pPr>
    </w:p>
    <w:p>
      <w:pPr>
        <w:jc w:val="left"/>
        <w:rPr>
          <w:rFonts w:hint="eastAsia" w:ascii="黑体" w:hAnsi="黑体" w:eastAsia="黑体" w:cs="黑体"/>
          <w:sz w:val="32"/>
          <w:szCs w:val="32"/>
        </w:rPr>
        <w:sectPr>
          <w:footerReference r:id="rId3" w:type="default"/>
          <w:footerReference r:id="rId4" w:type="even"/>
          <w:pgSz w:w="11906" w:h="16838"/>
          <w:pgMar w:top="1440" w:right="1531" w:bottom="1440" w:left="1587" w:header="850" w:footer="992" w:gutter="0"/>
          <w:pgNumType w:fmt="numberInDash" w:start="1"/>
          <w:cols w:space="720" w:num="1"/>
          <w:docGrid w:type="lines" w:linePitch="317" w:charSpace="0"/>
        </w:sect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center"/>
        <w:outlineLvl w:val="0"/>
        <w:rPr>
          <w:rFonts w:hint="eastAsia" w:ascii="黑体" w:hAnsi="宋体" w:eastAsia="黑体" w:cs="宋体"/>
          <w:kern w:val="0"/>
          <w:sz w:val="28"/>
          <w:szCs w:val="28"/>
        </w:rPr>
      </w:pPr>
      <w:r>
        <w:rPr>
          <w:rFonts w:hint="eastAsia" w:ascii="黑体" w:hAnsi="黑体" w:eastAsia="黑体" w:cs="黑体"/>
          <w:sz w:val="48"/>
          <w:szCs w:val="48"/>
        </w:rPr>
        <w:t>第一部分  三门峡市有色金属质量科学研究所概况</w:t>
      </w: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sectPr>
          <w:pgSz w:w="11906" w:h="16838"/>
          <w:pgMar w:top="1440" w:right="1800" w:bottom="1440" w:left="1800" w:header="720" w:footer="720" w:gutter="0"/>
          <w:pgNumType w:fmt="numberInDash"/>
          <w:cols w:space="720" w:num="1"/>
          <w:docGrid w:type="lines" w:linePitch="312" w:charSpace="0"/>
        </w:sectPr>
      </w:pPr>
    </w:p>
    <w:p>
      <w:pPr>
        <w:widowControl/>
        <w:ind w:firstLine="640" w:firstLineChars="200"/>
        <w:jc w:val="left"/>
        <w:outlineLvl w:val="1"/>
        <w:rPr>
          <w:rFonts w:hint="eastAsia" w:ascii="黑体" w:hAnsi="黑体" w:eastAsia="黑体" w:cs="黑体"/>
          <w:kern w:val="0"/>
          <w:sz w:val="32"/>
          <w:szCs w:val="32"/>
        </w:rPr>
      </w:pPr>
      <w:r>
        <w:rPr>
          <w:rFonts w:hint="eastAsia" w:ascii="黑体" w:hAnsi="黑体" w:eastAsia="黑体" w:cs="黑体"/>
          <w:kern w:val="0"/>
          <w:sz w:val="32"/>
          <w:szCs w:val="32"/>
        </w:rPr>
        <w:t>一、部门</w:t>
      </w:r>
      <w:r>
        <w:rPr>
          <w:rFonts w:hint="eastAsia" w:ascii="黑体" w:hAnsi="黑体" w:eastAsia="黑体" w:cs="黑体"/>
          <w:bCs/>
          <w:sz w:val="32"/>
          <w:szCs w:val="32"/>
        </w:rPr>
        <w:t>职责</w:t>
      </w:r>
    </w:p>
    <w:p>
      <w:pPr>
        <w:widowControl/>
        <w:ind w:firstLine="640" w:firstLineChars="200"/>
        <w:jc w:val="left"/>
        <w:outlineLvl w:val="1"/>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门峡市有色金属质量科学研究所主要职责是：开展有色金属质量控制工艺研究；引进有色金属质量科学成果并组织转化；建立有色金属产业质量数据库，推进全产业质量提升；开展标准化研究，承担有色金属标准的制、修订和宣贯工作；依法承担有色金属产品的检验工作和全市有色金属检测数据的比对工作；开展有色金属行业节能降耗相关标准的实施监督工作；建立健全质量检验制度和质量保证体系；开展新的检测技术、检验方法和检测仪器设备的研究。</w:t>
      </w:r>
    </w:p>
    <w:p>
      <w:pPr>
        <w:widowControl/>
        <w:ind w:firstLine="640" w:firstLineChars="200"/>
        <w:jc w:val="left"/>
        <w:outlineLvl w:val="1"/>
        <w:rPr>
          <w:rFonts w:hint="eastAsia" w:ascii="黑体" w:hAnsi="黑体" w:eastAsia="黑体" w:cs="黑体"/>
          <w:kern w:val="0"/>
          <w:sz w:val="32"/>
          <w:szCs w:val="32"/>
        </w:rPr>
      </w:pPr>
      <w:r>
        <w:rPr>
          <w:rFonts w:hint="eastAsia" w:ascii="黑体" w:hAnsi="黑体" w:eastAsia="黑体" w:cs="黑体"/>
          <w:kern w:val="0"/>
          <w:sz w:val="32"/>
          <w:szCs w:val="32"/>
        </w:rPr>
        <w:t>二、机构设置</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rPr>
        <w:t>三门峡市有色金属质量科学研究所</w:t>
      </w:r>
      <w:r>
        <w:rPr>
          <w:rFonts w:hint="eastAsia" w:ascii="仿宋_GB2312" w:hAnsi="仿宋_GB2312" w:eastAsia="仿宋_GB2312" w:cs="仿宋_GB2312"/>
          <w:kern w:val="0"/>
          <w:sz w:val="32"/>
          <w:szCs w:val="32"/>
        </w:rPr>
        <w:t>内设机构</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个，包括：</w:t>
      </w:r>
      <w:r>
        <w:rPr>
          <w:rFonts w:hint="eastAsia" w:ascii="仿宋_GB2312" w:hAnsi="仿宋_GB2312" w:eastAsia="仿宋_GB2312" w:cs="仿宋_GB2312"/>
          <w:kern w:val="0"/>
          <w:sz w:val="32"/>
          <w:szCs w:val="32"/>
          <w:lang w:eastAsia="zh-CN"/>
        </w:rPr>
        <w:t>综合业务室、财务室、金属材料研究室、资源综合利用研究室</w:t>
      </w:r>
      <w:r>
        <w:rPr>
          <w:rFonts w:hint="eastAsia" w:ascii="仿宋_GB2312" w:hAnsi="仿宋_GB2312" w:eastAsia="仿宋_GB2312" w:cs="仿宋_GB2312"/>
          <w:kern w:val="0"/>
          <w:sz w:val="32"/>
          <w:szCs w:val="32"/>
        </w:rPr>
        <w:t>。</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从决算单位构成看，</w:t>
      </w:r>
      <w:r>
        <w:rPr>
          <w:rFonts w:hint="eastAsia" w:ascii="仿宋_GB2312" w:hAnsi="宋体" w:eastAsia="仿宋_GB2312" w:cs="宋体"/>
          <w:kern w:val="0"/>
          <w:sz w:val="32"/>
          <w:szCs w:val="32"/>
        </w:rPr>
        <w:t>三门峡市有色金属质量科学研究所</w:t>
      </w:r>
      <w:r>
        <w:rPr>
          <w:rFonts w:hint="eastAsia" w:ascii="仿宋_GB2312" w:hAnsi="仿宋_GB2312" w:eastAsia="仿宋_GB2312" w:cs="仿宋_GB2312"/>
          <w:kern w:val="0"/>
          <w:sz w:val="32"/>
          <w:szCs w:val="32"/>
        </w:rPr>
        <w:t>部门决算包括：本级决算、所属单位决算。</w:t>
      </w: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outlineLvl w:val="0"/>
        <w:rPr>
          <w:rFonts w:hint="eastAsia" w:ascii="黑体" w:hAnsi="黑体" w:eastAsia="黑体" w:cs="黑体"/>
          <w:sz w:val="48"/>
          <w:szCs w:val="48"/>
        </w:rPr>
      </w:pPr>
      <w:r>
        <w:rPr>
          <w:rFonts w:hint="eastAsia" w:ascii="黑体" w:hAnsi="黑体" w:eastAsia="黑体" w:cs="黑体"/>
          <w:sz w:val="48"/>
          <w:szCs w:val="48"/>
        </w:rPr>
        <w:t xml:space="preserve">第二部分  </w:t>
      </w:r>
      <w:r>
        <w:rPr>
          <w:rFonts w:hint="eastAsia" w:ascii="黑体" w:hAnsi="黑体" w:eastAsia="黑体" w:cs="黑体"/>
          <w:sz w:val="48"/>
          <w:szCs w:val="48"/>
          <w:lang w:eastAsia="zh-CN"/>
        </w:rPr>
        <w:t>2021年</w:t>
      </w:r>
      <w:r>
        <w:rPr>
          <w:rFonts w:hint="eastAsia" w:ascii="黑体" w:hAnsi="黑体" w:eastAsia="黑体" w:cs="黑体"/>
          <w:sz w:val="48"/>
          <w:szCs w:val="48"/>
        </w:rPr>
        <w:t>度部门决算表</w:t>
      </w: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sectPr>
          <w:pgSz w:w="11906" w:h="16838"/>
          <w:pgMar w:top="1440" w:right="1800" w:bottom="1440" w:left="1800" w:header="720" w:footer="720" w:gutter="0"/>
          <w:pgNumType w:fmt="numberInDash"/>
          <w:cols w:space="720" w:num="1"/>
          <w:docGrid w:type="lines" w:linePitch="312" w:charSpace="0"/>
        </w:sectPr>
      </w:pPr>
    </w:p>
    <w:tbl>
      <w:tblPr>
        <w:tblStyle w:val="6"/>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21"/>
        <w:gridCol w:w="829"/>
        <w:gridCol w:w="1107"/>
        <w:gridCol w:w="4442"/>
        <w:gridCol w:w="829"/>
        <w:gridCol w:w="20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4821"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eastAsia" w:ascii="Arial" w:hAnsi="Arial" w:cs="Arial"/>
                <w:i w:val="0"/>
                <w:iCs w:val="0"/>
                <w:color w:val="000000"/>
                <w:sz w:val="20"/>
                <w:szCs w:val="20"/>
                <w:u w:val="none"/>
              </w:rPr>
            </w:pPr>
          </w:p>
        </w:tc>
        <w:tc>
          <w:tcPr>
            <w:tcW w:w="829"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107"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44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829"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2042"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4821"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部门：三门峡市有色金属质量科学研究所</w:t>
            </w:r>
          </w:p>
        </w:tc>
        <w:tc>
          <w:tcPr>
            <w:tcW w:w="829"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107"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44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829"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2042"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6757" w:type="dxa"/>
            <w:gridSpan w:val="3"/>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313"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07"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20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07"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231.19</w:t>
            </w: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0"/>
                <w:szCs w:val="20"/>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0"/>
                <w:szCs w:val="20"/>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0"/>
                <w:szCs w:val="20"/>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0"/>
                <w:szCs w:val="20"/>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0"/>
                <w:szCs w:val="20"/>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232.88</w:t>
            </w: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51.37</w:t>
            </w: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82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29" w:type="dxa"/>
            <w:tcBorders>
              <w:top w:val="nil"/>
              <w:left w:val="nil"/>
              <w:bottom w:val="single" w:color="000000" w:sz="8"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1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284.25</w:t>
            </w:r>
          </w:p>
        </w:tc>
        <w:tc>
          <w:tcPr>
            <w:tcW w:w="444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2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04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4070" w:type="dxa"/>
            <w:gridSpan w:val="6"/>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注：本表反映部门本年度的总收支和年末结转结余情况。本套报表金额单位转换时可能存在尾数误差。</w:t>
            </w: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6"/>
        <w:tblW w:w="136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20"/>
        <w:gridCol w:w="234"/>
        <w:gridCol w:w="234"/>
        <w:gridCol w:w="4168"/>
        <w:gridCol w:w="1919"/>
        <w:gridCol w:w="1437"/>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1616" w:type="dxa"/>
          <w:trHeight w:val="390" w:hRule="atLeast"/>
        </w:trPr>
        <w:tc>
          <w:tcPr>
            <w:tcW w:w="12012" w:type="dxa"/>
            <w:gridSpan w:val="6"/>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4020"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eastAsia" w:ascii="Arial" w:hAnsi="Arial" w:cs="Arial"/>
                <w:i w:val="0"/>
                <w:iCs w:val="0"/>
                <w:color w:val="000000"/>
                <w:sz w:val="20"/>
                <w:szCs w:val="20"/>
                <w:u w:val="none"/>
              </w:rPr>
            </w:pPr>
          </w:p>
        </w:tc>
        <w:tc>
          <w:tcPr>
            <w:tcW w:w="234"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234"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168"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919"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437"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4020"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部门：三门峡市有色金属质量科学研究所</w:t>
            </w:r>
          </w:p>
        </w:tc>
        <w:tc>
          <w:tcPr>
            <w:tcW w:w="234"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234"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168"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919"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437"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8656" w:type="dxa"/>
            <w:gridSpan w:val="4"/>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919"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437"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616"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4168"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19"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37"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168"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19"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37"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168"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19"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37"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8656" w:type="dxa"/>
            <w:gridSpan w:val="4"/>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1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37"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1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8656" w:type="dxa"/>
            <w:gridSpan w:val="4"/>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232.88</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231.19</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217.01</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215.31</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市场监督管理事务</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217.01</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215.31</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2013810</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质量基础</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149.00</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149.00</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2013850</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68.01</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66.31</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48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16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919"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3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616" w:type="dxa"/>
          <w:trHeight w:val="308" w:hRule="atLeast"/>
        </w:trPr>
        <w:tc>
          <w:tcPr>
            <w:tcW w:w="12012" w:type="dxa"/>
            <w:gridSpan w:val="6"/>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6"/>
        <w:tblW w:w="132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16"/>
        <w:gridCol w:w="222"/>
        <w:gridCol w:w="222"/>
        <w:gridCol w:w="3956"/>
        <w:gridCol w:w="882"/>
        <w:gridCol w:w="771"/>
        <w:gridCol w:w="882"/>
        <w:gridCol w:w="436"/>
        <w:gridCol w:w="436"/>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0" w:hRule="atLeast"/>
        </w:trPr>
        <w:tc>
          <w:tcPr>
            <w:tcW w:w="13239" w:type="dxa"/>
            <w:gridSpan w:val="10"/>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381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395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88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771"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88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3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3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3816"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部门：三门峡市有色金属质量科学研究所</w:t>
            </w:r>
          </w:p>
        </w:tc>
        <w:tc>
          <w:tcPr>
            <w:tcW w:w="22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395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88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771"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88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3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3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8216" w:type="dxa"/>
            <w:gridSpan w:val="4"/>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82"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771"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882"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436"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436"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16"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395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882"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82"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3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3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956"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82"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82"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3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3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956"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82"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82"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3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3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8216" w:type="dxa"/>
            <w:gridSpan w:val="4"/>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8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82"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3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3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8216" w:type="dxa"/>
            <w:gridSpan w:val="4"/>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231.25</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86.85</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144.40</w:t>
            </w: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215.37</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70.97</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144.40</w:t>
            </w: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市场监督管理事务</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215.37</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70.97</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144.40</w:t>
            </w: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2013810</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质量基础</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126.88</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126.88</w:t>
            </w: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2013850</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70.97</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70.97</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2013899</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其他市场监督管理事务</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17.52</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17.52</w:t>
            </w: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7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882"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3239" w:type="dxa"/>
            <w:gridSpan w:val="10"/>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6"/>
        <w:tblW w:w="1330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16"/>
        <w:gridCol w:w="476"/>
        <w:gridCol w:w="950"/>
        <w:gridCol w:w="3660"/>
        <w:gridCol w:w="476"/>
        <w:gridCol w:w="876"/>
        <w:gridCol w:w="948"/>
        <w:gridCol w:w="491"/>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0" w:hRule="atLeast"/>
        </w:trPr>
        <w:tc>
          <w:tcPr>
            <w:tcW w:w="13309" w:type="dxa"/>
            <w:gridSpan w:val="9"/>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381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eastAsia" w:ascii="Arial" w:hAnsi="Arial" w:cs="Arial"/>
                <w:i w:val="0"/>
                <w:iCs w:val="0"/>
                <w:color w:val="000000"/>
                <w:sz w:val="20"/>
                <w:szCs w:val="20"/>
                <w:u w:val="none"/>
              </w:rPr>
            </w:pPr>
          </w:p>
        </w:tc>
        <w:tc>
          <w:tcPr>
            <w:tcW w:w="47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950"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3660"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7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87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948"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91"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3816"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部门：三门峡市有色金属质量科学研究所</w:t>
            </w:r>
          </w:p>
        </w:tc>
        <w:tc>
          <w:tcPr>
            <w:tcW w:w="47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950"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3660"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7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87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948"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491"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5242" w:type="dxa"/>
            <w:gridSpan w:val="3"/>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8067" w:type="dxa"/>
            <w:gridSpan w:val="6"/>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2" w:hRule="atLeast"/>
        </w:trPr>
        <w:tc>
          <w:tcPr>
            <w:tcW w:w="3816"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47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95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47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87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48"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49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61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5" w:hRule="atLeast"/>
        </w:trPr>
        <w:tc>
          <w:tcPr>
            <w:tcW w:w="3816" w:type="dxa"/>
            <w:vMerge w:val="continue"/>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76"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50"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660"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76"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76"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48"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1"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6"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5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8"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1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231.19</w:t>
            </w: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196.16</w:t>
            </w: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196.16</w:t>
            </w: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三、国有资本经营财政拨款</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0"/>
                <w:szCs w:val="20"/>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0"/>
                <w:szCs w:val="20"/>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231.19</w:t>
            </w: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33.85</w:t>
            </w: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33.85</w:t>
            </w: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381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76" w:type="dxa"/>
            <w:tcBorders>
              <w:top w:val="nil"/>
              <w:left w:val="nil"/>
              <w:bottom w:val="single" w:color="000000" w:sz="8"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9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265.04</w:t>
            </w:r>
          </w:p>
        </w:tc>
        <w:tc>
          <w:tcPr>
            <w:tcW w:w="3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7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87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265.04</w:t>
            </w:r>
          </w:p>
        </w:tc>
        <w:tc>
          <w:tcPr>
            <w:tcW w:w="94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265.04</w:t>
            </w:r>
          </w:p>
        </w:tc>
        <w:tc>
          <w:tcPr>
            <w:tcW w:w="49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6"/>
        <w:tblW w:w="126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16"/>
        <w:gridCol w:w="222"/>
        <w:gridCol w:w="222"/>
        <w:gridCol w:w="3956"/>
        <w:gridCol w:w="1411"/>
        <w:gridCol w:w="1380"/>
        <w:gridCol w:w="16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0" w:hRule="atLeast"/>
        </w:trPr>
        <w:tc>
          <w:tcPr>
            <w:tcW w:w="12694" w:type="dxa"/>
            <w:gridSpan w:val="7"/>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5" w:hRule="atLeast"/>
        </w:trPr>
        <w:tc>
          <w:tcPr>
            <w:tcW w:w="381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395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411"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380"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687"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5" w:hRule="atLeast"/>
        </w:trPr>
        <w:tc>
          <w:tcPr>
            <w:tcW w:w="3816"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部门：三门峡市有色金属质量科学研究所</w:t>
            </w:r>
          </w:p>
        </w:tc>
        <w:tc>
          <w:tcPr>
            <w:tcW w:w="22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395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411"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380"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687"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8216" w:type="dxa"/>
            <w:gridSpan w:val="4"/>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4478"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8" w:hRule="atLeast"/>
        </w:trPr>
        <w:tc>
          <w:tcPr>
            <w:tcW w:w="42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395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1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7" w:hRule="atLeast"/>
        </w:trPr>
        <w:tc>
          <w:tcPr>
            <w:tcW w:w="4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956"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11"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87"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8" w:hRule="atLeast"/>
        </w:trPr>
        <w:tc>
          <w:tcPr>
            <w:tcW w:w="4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956"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11"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87"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8216" w:type="dxa"/>
            <w:gridSpan w:val="4"/>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1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87"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8" w:hRule="atLeast"/>
        </w:trPr>
        <w:tc>
          <w:tcPr>
            <w:tcW w:w="8216" w:type="dxa"/>
            <w:gridSpan w:val="4"/>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212.03</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85.15</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196.16</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69.28</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市场监督管理事务</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196.16</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69.28</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2013810</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质量基础</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126.88</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2013850</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69.28</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69.28</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3956"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411"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687"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2694" w:type="dxa"/>
            <w:gridSpan w:val="7"/>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6"/>
        <w:tblW w:w="144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6"/>
        <w:gridCol w:w="2191"/>
        <w:gridCol w:w="975"/>
        <w:gridCol w:w="750"/>
        <w:gridCol w:w="330"/>
        <w:gridCol w:w="1757"/>
        <w:gridCol w:w="163"/>
        <w:gridCol w:w="1155"/>
        <w:gridCol w:w="930"/>
        <w:gridCol w:w="3781"/>
        <w:gridCol w:w="1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0" w:hRule="atLeast"/>
        </w:trPr>
        <w:tc>
          <w:tcPr>
            <w:tcW w:w="14458" w:type="dxa"/>
            <w:gridSpan w:val="11"/>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1136"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eastAsia" w:ascii="Arial" w:hAnsi="Arial" w:cs="Arial"/>
                <w:i w:val="0"/>
                <w:iCs w:val="0"/>
                <w:color w:val="000000"/>
                <w:sz w:val="20"/>
                <w:szCs w:val="20"/>
                <w:u w:val="none"/>
              </w:rPr>
            </w:pPr>
          </w:p>
        </w:tc>
        <w:tc>
          <w:tcPr>
            <w:tcW w:w="2191"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975"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080" w:type="dxa"/>
            <w:gridSpan w:val="2"/>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920" w:type="dxa"/>
            <w:gridSpan w:val="2"/>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155"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930"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3781"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1136"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部门：三门峡市有色金属质量科学研究所</w:t>
            </w:r>
          </w:p>
        </w:tc>
        <w:tc>
          <w:tcPr>
            <w:tcW w:w="2191"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975"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080" w:type="dxa"/>
            <w:gridSpan w:val="2"/>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920" w:type="dxa"/>
            <w:gridSpan w:val="2"/>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155"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930"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3781" w:type="dxa"/>
            <w:tcBorders>
              <w:top w:val="nil"/>
              <w:left w:val="nil"/>
              <w:bottom w:val="nil"/>
              <w:right w:val="nil"/>
            </w:tcBorders>
            <w:shd w:val="clear" w:color="auto" w:fill="auto"/>
            <w:vAlign w:val="bottom"/>
          </w:tcPr>
          <w:p>
            <w:pPr>
              <w:keepNext w:val="0"/>
              <w:keepLines w:val="0"/>
              <w:suppressLineNumbers w:val="0"/>
              <w:spacing w:before="0" w:beforeAutospacing="0" w:after="0" w:afterAutospacing="0"/>
              <w:ind w:left="0" w:right="0"/>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7139"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7319" w:type="dxa"/>
            <w:gridSpan w:val="5"/>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19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080"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920"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5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3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78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vMerge w:val="continue"/>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191"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20" w:type="dxa"/>
            <w:gridSpan w:val="2"/>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55"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30"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781"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90" w:type="dxa"/>
            <w:vMerge w:val="continue"/>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81.86</w:t>
            </w: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20.98</w:t>
            </w: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9.39</w:t>
            </w: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0.77</w:t>
            </w: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39906</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赠与</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136"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191"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975"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08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9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15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3781" w:type="dxa"/>
            <w:tcBorders>
              <w:top w:val="nil"/>
              <w:left w:val="nil"/>
              <w:bottom w:val="single" w:color="000000" w:sz="4" w:space="0"/>
              <w:right w:val="single" w:color="000000" w:sz="4" w:space="0"/>
            </w:tcBorders>
            <w:shd w:val="clear" w:color="FFFFFF" w:fill="C0C0C0"/>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5052" w:type="dxa"/>
            <w:gridSpan w:val="4"/>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2087"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81.86</w:t>
            </w:r>
          </w:p>
        </w:tc>
        <w:tc>
          <w:tcPr>
            <w:tcW w:w="6029" w:type="dxa"/>
            <w:gridSpan w:val="4"/>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29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14458" w:type="dxa"/>
            <w:gridSpan w:val="11"/>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6"/>
        <w:tblW w:w="13807" w:type="dxa"/>
        <w:tblInd w:w="0" w:type="dxa"/>
        <w:tblLayout w:type="fixed"/>
        <w:tblCellMar>
          <w:top w:w="0" w:type="dxa"/>
          <w:left w:w="0" w:type="dxa"/>
          <w:bottom w:w="0" w:type="dxa"/>
          <w:right w:w="0" w:type="dxa"/>
        </w:tblCellMar>
      </w:tblPr>
      <w:tblGrid>
        <w:gridCol w:w="1151"/>
        <w:gridCol w:w="1149"/>
        <w:gridCol w:w="1150"/>
        <w:gridCol w:w="1150"/>
        <w:gridCol w:w="1151"/>
        <w:gridCol w:w="1150"/>
        <w:gridCol w:w="1151"/>
        <w:gridCol w:w="1151"/>
        <w:gridCol w:w="1151"/>
        <w:gridCol w:w="1151"/>
        <w:gridCol w:w="1151"/>
        <w:gridCol w:w="1151"/>
      </w:tblGrid>
      <w:tr>
        <w:tblPrEx>
          <w:tblLayout w:type="fixed"/>
          <w:tblCellMar>
            <w:top w:w="0" w:type="dxa"/>
            <w:left w:w="0" w:type="dxa"/>
            <w:bottom w:w="0" w:type="dxa"/>
            <w:right w:w="0" w:type="dxa"/>
          </w:tblCellMar>
        </w:tblPrEx>
        <w:trPr>
          <w:trHeight w:val="600" w:hRule="atLeast"/>
        </w:trPr>
        <w:tc>
          <w:tcPr>
            <w:tcW w:w="13807" w:type="dxa"/>
            <w:gridSpan w:val="12"/>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一般公共预算财政拨款“三公”经费支出决算表</w:t>
            </w:r>
          </w:p>
        </w:tc>
      </w:tr>
      <w:tr>
        <w:tblPrEx>
          <w:tblLayout w:type="fixed"/>
          <w:tblCellMar>
            <w:top w:w="0" w:type="dxa"/>
            <w:left w:w="0" w:type="dxa"/>
            <w:bottom w:w="0" w:type="dxa"/>
            <w:right w:w="0" w:type="dxa"/>
          </w:tblCellMar>
        </w:tblPrEx>
        <w:trPr>
          <w:trHeight w:val="222" w:hRule="atLeast"/>
        </w:trPr>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49"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公开07表</w:t>
            </w:r>
          </w:p>
        </w:tc>
      </w:tr>
      <w:tr>
        <w:tblPrEx>
          <w:tblLayout w:type="fixed"/>
          <w:tblCellMar>
            <w:top w:w="0" w:type="dxa"/>
            <w:left w:w="0" w:type="dxa"/>
            <w:bottom w:w="0" w:type="dxa"/>
            <w:right w:w="0" w:type="dxa"/>
          </w:tblCellMar>
        </w:tblPrEx>
        <w:trPr>
          <w:trHeight w:val="300" w:hRule="atLeast"/>
        </w:trPr>
        <w:tc>
          <w:tcPr>
            <w:tcW w:w="5751" w:type="dxa"/>
            <w:gridSpan w:val="5"/>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r>
              <w:rPr>
                <w:rFonts w:hint="eastAsia" w:ascii="宋体" w:hAnsi="宋体" w:cs="宋体"/>
                <w:color w:val="000000"/>
                <w:kern w:val="0"/>
                <w:sz w:val="20"/>
                <w:szCs w:val="20"/>
                <w:lang w:bidi="ar"/>
              </w:rPr>
              <w:t>部门：三门峡市有色金属质量科学研究所</w:t>
            </w:r>
          </w:p>
        </w:tc>
        <w:tc>
          <w:tcPr>
            <w:tcW w:w="1150"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单位：万元</w:t>
            </w:r>
          </w:p>
        </w:tc>
      </w:tr>
      <w:tr>
        <w:tblPrEx>
          <w:tblLayout w:type="fixed"/>
          <w:tblCellMar>
            <w:top w:w="0" w:type="dxa"/>
            <w:left w:w="0" w:type="dxa"/>
            <w:bottom w:w="0" w:type="dxa"/>
            <w:right w:w="0" w:type="dxa"/>
          </w:tblCellMar>
        </w:tblPrEx>
        <w:trPr>
          <w:trHeight w:val="559" w:hRule="atLeast"/>
        </w:trPr>
        <w:tc>
          <w:tcPr>
            <w:tcW w:w="6901" w:type="dxa"/>
            <w:gridSpan w:val="6"/>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预算数</w:t>
            </w:r>
          </w:p>
        </w:tc>
        <w:tc>
          <w:tcPr>
            <w:tcW w:w="6906" w:type="dxa"/>
            <w:gridSpan w:val="6"/>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决算数</w:t>
            </w:r>
          </w:p>
        </w:tc>
      </w:tr>
      <w:tr>
        <w:tblPrEx>
          <w:tblLayout w:type="fixed"/>
          <w:tblCellMar>
            <w:top w:w="0" w:type="dxa"/>
            <w:left w:w="0" w:type="dxa"/>
            <w:bottom w:w="0" w:type="dxa"/>
            <w:right w:w="0" w:type="dxa"/>
          </w:tblCellMar>
        </w:tblPrEx>
        <w:trPr>
          <w:trHeight w:val="600" w:hRule="atLeast"/>
        </w:trPr>
        <w:tc>
          <w:tcPr>
            <w:tcW w:w="1151" w:type="dxa"/>
            <w:vMerge w:val="restart"/>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合计</w:t>
            </w:r>
          </w:p>
        </w:tc>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因公出国（境）费</w:t>
            </w:r>
          </w:p>
        </w:tc>
        <w:tc>
          <w:tcPr>
            <w:tcW w:w="345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公务用车购置及运行费</w:t>
            </w:r>
          </w:p>
        </w:tc>
        <w:tc>
          <w:tcPr>
            <w:tcW w:w="115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公务接待费</w:t>
            </w:r>
          </w:p>
        </w:tc>
        <w:tc>
          <w:tcPr>
            <w:tcW w:w="1151" w:type="dxa"/>
            <w:vMerge w:val="restart"/>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合计</w:t>
            </w:r>
          </w:p>
        </w:tc>
        <w:tc>
          <w:tcPr>
            <w:tcW w:w="115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因公出国（境）费</w:t>
            </w:r>
          </w:p>
        </w:tc>
        <w:tc>
          <w:tcPr>
            <w:tcW w:w="345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公务用车购置及运行费</w:t>
            </w:r>
          </w:p>
        </w:tc>
        <w:tc>
          <w:tcPr>
            <w:tcW w:w="1151" w:type="dxa"/>
            <w:vMerge w:val="restart"/>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公务接待费</w:t>
            </w:r>
          </w:p>
        </w:tc>
      </w:tr>
      <w:tr>
        <w:tblPrEx>
          <w:tblLayout w:type="fixed"/>
          <w:tblCellMar>
            <w:top w:w="0" w:type="dxa"/>
            <w:left w:w="0" w:type="dxa"/>
            <w:bottom w:w="0" w:type="dxa"/>
            <w:right w:w="0" w:type="dxa"/>
          </w:tblCellMar>
        </w:tblPrEx>
        <w:trPr>
          <w:trHeight w:val="600" w:hRule="atLeast"/>
        </w:trPr>
        <w:tc>
          <w:tcPr>
            <w:tcW w:w="1151" w:type="dxa"/>
            <w:vMerge w:val="continue"/>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0"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小计</w:t>
            </w:r>
          </w:p>
        </w:tc>
        <w:tc>
          <w:tcPr>
            <w:tcW w:w="1150"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购置费</w:t>
            </w:r>
          </w:p>
        </w:tc>
        <w:tc>
          <w:tcPr>
            <w:tcW w:w="115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运行费</w:t>
            </w:r>
          </w:p>
        </w:tc>
        <w:tc>
          <w:tcPr>
            <w:tcW w:w="115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1" w:type="dxa"/>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小计</w:t>
            </w:r>
          </w:p>
        </w:tc>
        <w:tc>
          <w:tcPr>
            <w:tcW w:w="115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购置费</w:t>
            </w:r>
          </w:p>
        </w:tc>
        <w:tc>
          <w:tcPr>
            <w:tcW w:w="115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运行费</w:t>
            </w:r>
          </w:p>
        </w:tc>
        <w:tc>
          <w:tcPr>
            <w:tcW w:w="1151" w:type="dxa"/>
            <w:vMerge w:val="continue"/>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Layout w:type="fixed"/>
          <w:tblCellMar>
            <w:top w:w="0" w:type="dxa"/>
            <w:left w:w="0" w:type="dxa"/>
            <w:bottom w:w="0" w:type="dxa"/>
            <w:right w:w="0" w:type="dxa"/>
          </w:tblCellMar>
        </w:tblPrEx>
        <w:trPr>
          <w:trHeight w:val="559" w:hRule="atLeast"/>
        </w:trPr>
        <w:tc>
          <w:tcPr>
            <w:tcW w:w="1151"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w:t>
            </w:r>
          </w:p>
        </w:tc>
        <w:tc>
          <w:tcPr>
            <w:tcW w:w="1151"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w:t>
            </w:r>
          </w:p>
        </w:tc>
      </w:tr>
      <w:tr>
        <w:tblPrEx>
          <w:tblLayout w:type="fixed"/>
          <w:tblCellMar>
            <w:top w:w="0" w:type="dxa"/>
            <w:left w:w="0" w:type="dxa"/>
            <w:bottom w:w="0" w:type="dxa"/>
            <w:right w:w="0" w:type="dxa"/>
          </w:tblCellMar>
        </w:tblPrEx>
        <w:trPr>
          <w:trHeight w:val="855" w:hRule="atLeast"/>
        </w:trPr>
        <w:tc>
          <w:tcPr>
            <w:tcW w:w="1151" w:type="dxa"/>
            <w:tcBorders>
              <w:top w:val="single" w:color="000000" w:sz="4"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eastAsiaTheme="minorEastAsia"/>
                <w:color w:val="000000"/>
                <w:sz w:val="20"/>
                <w:szCs w:val="20"/>
                <w:lang w:val="en-US" w:eastAsia="zh-CN"/>
              </w:rPr>
            </w:pPr>
            <w:r>
              <w:rPr>
                <w:rFonts w:hint="eastAsia" w:ascii="宋体" w:hAnsi="宋体" w:cs="宋体"/>
                <w:color w:val="000000"/>
                <w:sz w:val="20"/>
                <w:szCs w:val="20"/>
                <w:lang w:val="en-US" w:eastAsia="zh-CN"/>
              </w:rPr>
              <w:t>0.37</w:t>
            </w:r>
          </w:p>
        </w:tc>
        <w:tc>
          <w:tcPr>
            <w:tcW w:w="1151"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eastAsiaTheme="minorEastAsia"/>
                <w:color w:val="000000"/>
                <w:sz w:val="20"/>
                <w:szCs w:val="20"/>
                <w:lang w:val="en-US" w:eastAsia="zh-CN"/>
              </w:rPr>
            </w:pPr>
            <w:r>
              <w:rPr>
                <w:rFonts w:hint="eastAsia" w:ascii="宋体" w:hAnsi="宋体" w:cs="宋体"/>
                <w:color w:val="000000"/>
                <w:sz w:val="20"/>
                <w:szCs w:val="20"/>
                <w:lang w:val="en-US" w:eastAsia="zh-CN"/>
              </w:rPr>
              <w:t>0.37</w:t>
            </w:r>
          </w:p>
        </w:tc>
      </w:tr>
      <w:tr>
        <w:tblPrEx>
          <w:tblLayout w:type="fixed"/>
          <w:tblCellMar>
            <w:top w:w="0" w:type="dxa"/>
            <w:left w:w="0" w:type="dxa"/>
            <w:bottom w:w="0" w:type="dxa"/>
            <w:right w:w="0" w:type="dxa"/>
          </w:tblCellMar>
        </w:tblPrEx>
        <w:trPr>
          <w:trHeight w:val="900" w:hRule="atLeast"/>
        </w:trPr>
        <w:tc>
          <w:tcPr>
            <w:tcW w:w="13807" w:type="dxa"/>
            <w:gridSpan w:val="12"/>
            <w:tcBorders>
              <w:top w:val="single" w:color="000000" w:sz="8" w:space="0"/>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注：本表反映部门本年度“三公”经费支出预决算情况。其中，</w:t>
            </w:r>
            <w:r>
              <w:rPr>
                <w:rStyle w:val="10"/>
                <w:rFonts w:hint="default"/>
                <w:sz w:val="20"/>
                <w:szCs w:val="20"/>
                <w:lang w:bidi="ar"/>
              </w:rPr>
              <w:t>预算数为“三公”经费</w:t>
            </w:r>
            <w:r>
              <w:rPr>
                <w:rStyle w:val="10"/>
                <w:rFonts w:hint="eastAsia" w:eastAsia="宋体"/>
                <w:sz w:val="20"/>
                <w:szCs w:val="20"/>
                <w:lang w:eastAsia="zh-CN" w:bidi="ar"/>
              </w:rPr>
              <w:t>调整</w:t>
            </w:r>
            <w:r>
              <w:rPr>
                <w:rStyle w:val="10"/>
                <w:rFonts w:hint="default"/>
                <w:sz w:val="20"/>
                <w:szCs w:val="20"/>
                <w:lang w:bidi="ar"/>
              </w:rPr>
              <w:t>预算数，决算数是包括当年一般公共预算财政拨款和以前年度结转资金安排的实际支出。</w:t>
            </w:r>
            <w:r>
              <w:rPr>
                <w:rFonts w:hint="eastAsia" w:ascii="宋体" w:hAnsi="宋体" w:cs="宋体"/>
                <w:color w:val="000000"/>
                <w:kern w:val="0"/>
                <w:sz w:val="20"/>
                <w:szCs w:val="20"/>
                <w:lang w:bidi="ar"/>
              </w:rPr>
              <w:t>本表金额转换为万元时，因四舍五入可能存在尾差。</w:t>
            </w:r>
          </w:p>
        </w:tc>
      </w:tr>
    </w:tbl>
    <w:p>
      <w:pPr>
        <w:rPr>
          <w:rFonts w:hint="eastAsia" w:ascii="仿宋_GB2312" w:hAnsi="仿宋_GB2312" w:eastAsia="仿宋_GB2312" w:cs="仿宋_GB2312"/>
          <w:sz w:val="32"/>
          <w:szCs w:val="32"/>
        </w:rPr>
        <w:sectPr>
          <w:pgSz w:w="16838" w:h="11906" w:orient="landscape"/>
          <w:pgMar w:top="2098" w:right="1474" w:bottom="1984" w:left="1587" w:header="720" w:footer="720" w:gutter="0"/>
          <w:pgNumType w:fmt="numberInDash"/>
          <w:cols w:space="720" w:num="1"/>
          <w:docGrid w:type="lines" w:linePitch="312" w:charSpace="0"/>
        </w:sectPr>
      </w:pPr>
    </w:p>
    <w:tbl>
      <w:tblPr>
        <w:tblStyle w:val="6"/>
        <w:tblW w:w="13988" w:type="dxa"/>
        <w:tblInd w:w="0" w:type="dxa"/>
        <w:tblLayout w:type="fixed"/>
        <w:tblCellMar>
          <w:top w:w="0" w:type="dxa"/>
          <w:left w:w="0" w:type="dxa"/>
          <w:bottom w:w="0" w:type="dxa"/>
          <w:right w:w="0" w:type="dxa"/>
        </w:tblCellMar>
      </w:tblPr>
      <w:tblGrid>
        <w:gridCol w:w="612"/>
        <w:gridCol w:w="536"/>
        <w:gridCol w:w="1276"/>
        <w:gridCol w:w="1926"/>
        <w:gridCol w:w="1926"/>
        <w:gridCol w:w="1926"/>
        <w:gridCol w:w="1927"/>
        <w:gridCol w:w="1926"/>
        <w:gridCol w:w="1933"/>
      </w:tblGrid>
      <w:tr>
        <w:tblPrEx>
          <w:tblLayout w:type="fixed"/>
          <w:tblCellMar>
            <w:top w:w="0" w:type="dxa"/>
            <w:left w:w="0" w:type="dxa"/>
            <w:bottom w:w="0" w:type="dxa"/>
            <w:right w:w="0" w:type="dxa"/>
          </w:tblCellMar>
        </w:tblPrEx>
        <w:trPr>
          <w:trHeight w:val="600" w:hRule="atLeast"/>
        </w:trPr>
        <w:tc>
          <w:tcPr>
            <w:tcW w:w="13988" w:type="dxa"/>
            <w:gridSpan w:val="9"/>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政府性基金预算财政拨款收入支出决算表</w:t>
            </w:r>
          </w:p>
        </w:tc>
      </w:tr>
      <w:tr>
        <w:tblPrEx>
          <w:tblLayout w:type="fixed"/>
          <w:tblCellMar>
            <w:top w:w="0" w:type="dxa"/>
            <w:left w:w="0" w:type="dxa"/>
            <w:bottom w:w="0" w:type="dxa"/>
            <w:right w:w="0" w:type="dxa"/>
          </w:tblCellMar>
        </w:tblPrEx>
        <w:trPr>
          <w:trHeight w:val="222" w:hRule="atLeast"/>
        </w:trPr>
        <w:tc>
          <w:tcPr>
            <w:tcW w:w="612"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53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公开08表</w:t>
            </w:r>
          </w:p>
        </w:tc>
      </w:tr>
      <w:tr>
        <w:tblPrEx>
          <w:tblLayout w:type="fixed"/>
          <w:tblCellMar>
            <w:top w:w="0" w:type="dxa"/>
            <w:left w:w="0" w:type="dxa"/>
            <w:bottom w:w="0" w:type="dxa"/>
            <w:right w:w="0" w:type="dxa"/>
          </w:tblCellMar>
        </w:tblPrEx>
        <w:trPr>
          <w:trHeight w:val="300" w:hRule="atLeast"/>
        </w:trPr>
        <w:tc>
          <w:tcPr>
            <w:tcW w:w="612"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部门：</w:t>
            </w:r>
          </w:p>
        </w:tc>
        <w:tc>
          <w:tcPr>
            <w:tcW w:w="7590" w:type="dxa"/>
            <w:gridSpan w:val="5"/>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r>
              <w:rPr>
                <w:rFonts w:hint="eastAsia" w:ascii="宋体" w:hAnsi="宋体" w:cs="宋体"/>
                <w:color w:val="000000"/>
                <w:sz w:val="20"/>
                <w:szCs w:val="20"/>
              </w:rPr>
              <w:t>三门峡市有色金属质量科学研究所</w:t>
            </w:r>
          </w:p>
        </w:tc>
        <w:tc>
          <w:tcPr>
            <w:tcW w:w="1927"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单位：万元</w:t>
            </w:r>
          </w:p>
        </w:tc>
      </w:tr>
      <w:tr>
        <w:tblPrEx>
          <w:tblLayout w:type="fixed"/>
          <w:tblCellMar>
            <w:top w:w="0" w:type="dxa"/>
            <w:left w:w="0" w:type="dxa"/>
            <w:bottom w:w="0" w:type="dxa"/>
            <w:right w:w="0" w:type="dxa"/>
          </w:tblCellMar>
        </w:tblPrEx>
        <w:trPr>
          <w:trHeight w:val="405" w:hRule="atLeast"/>
        </w:trPr>
        <w:tc>
          <w:tcPr>
            <w:tcW w:w="2424" w:type="dxa"/>
            <w:gridSpan w:val="3"/>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    目</w:t>
            </w:r>
          </w:p>
        </w:tc>
        <w:tc>
          <w:tcPr>
            <w:tcW w:w="1926" w:type="dxa"/>
            <w:vMerge w:val="restart"/>
            <w:tcBorders>
              <w:top w:val="single" w:color="000000" w:sz="8" w:space="0"/>
              <w:left w:val="single" w:color="000000" w:sz="4" w:space="0"/>
              <w:bottom w:val="single" w:color="000000" w:sz="4" w:space="0"/>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年初结转和结余</w:t>
            </w:r>
          </w:p>
        </w:tc>
        <w:tc>
          <w:tcPr>
            <w:tcW w:w="1926" w:type="dxa"/>
            <w:vMerge w:val="restart"/>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本年收入</w:t>
            </w:r>
          </w:p>
        </w:tc>
        <w:tc>
          <w:tcPr>
            <w:tcW w:w="5779" w:type="dxa"/>
            <w:gridSpan w:val="3"/>
            <w:tcBorders>
              <w:top w:val="single" w:color="000000" w:sz="8" w:space="0"/>
              <w:left w:val="single" w:color="000000" w:sz="4" w:space="0"/>
              <w:bottom w:val="single" w:color="000000" w:sz="4" w:space="0"/>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本年支出</w:t>
            </w:r>
          </w:p>
        </w:tc>
        <w:tc>
          <w:tcPr>
            <w:tcW w:w="1933" w:type="dxa"/>
            <w:vMerge w:val="restart"/>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年末结转和结余</w:t>
            </w:r>
          </w:p>
        </w:tc>
      </w:tr>
      <w:tr>
        <w:tblPrEx>
          <w:tblLayout w:type="fixed"/>
          <w:tblCellMar>
            <w:top w:w="0" w:type="dxa"/>
            <w:left w:w="0" w:type="dxa"/>
            <w:bottom w:w="0" w:type="dxa"/>
            <w:right w:w="0" w:type="dxa"/>
          </w:tblCellMar>
        </w:tblPrEx>
        <w:trPr>
          <w:trHeight w:val="540" w:hRule="atLeast"/>
        </w:trPr>
        <w:tc>
          <w:tcPr>
            <w:tcW w:w="1148" w:type="dxa"/>
            <w:gridSpan w:val="2"/>
            <w:vMerge w:val="restart"/>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功能分类</w:t>
            </w:r>
          </w:p>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科目编码</w:t>
            </w:r>
          </w:p>
        </w:tc>
        <w:tc>
          <w:tcPr>
            <w:tcW w:w="127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科目名称</w:t>
            </w:r>
          </w:p>
        </w:tc>
        <w:tc>
          <w:tcPr>
            <w:tcW w:w="1926" w:type="dxa"/>
            <w:vMerge w:val="continue"/>
            <w:tcBorders>
              <w:top w:val="single" w:color="000000" w:sz="8"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小计</w:t>
            </w:r>
          </w:p>
        </w:tc>
        <w:tc>
          <w:tcPr>
            <w:tcW w:w="1927"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基本支出</w:t>
            </w:r>
          </w:p>
        </w:tc>
        <w:tc>
          <w:tcPr>
            <w:tcW w:w="1926" w:type="dxa"/>
            <w:vMerge w:val="restart"/>
            <w:tcBorders>
              <w:top w:val="nil"/>
              <w:left w:val="single" w:color="000000" w:sz="4" w:space="0"/>
              <w:bottom w:val="single" w:color="000000" w:sz="4" w:space="0"/>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项目支出</w:t>
            </w:r>
          </w:p>
        </w:tc>
        <w:tc>
          <w:tcPr>
            <w:tcW w:w="1933"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Layout w:type="fixed"/>
          <w:tblCellMar>
            <w:top w:w="0" w:type="dxa"/>
            <w:left w:w="0" w:type="dxa"/>
            <w:bottom w:w="0" w:type="dxa"/>
            <w:right w:w="0" w:type="dxa"/>
          </w:tblCellMar>
        </w:tblPrEx>
        <w:trPr>
          <w:trHeight w:val="360" w:hRule="atLeast"/>
        </w:trPr>
        <w:tc>
          <w:tcPr>
            <w:tcW w:w="1148" w:type="dxa"/>
            <w:gridSpan w:val="2"/>
            <w:vMerge w:val="continue"/>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7"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nil"/>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33"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Layout w:type="fixed"/>
          <w:tblCellMar>
            <w:top w:w="0" w:type="dxa"/>
            <w:left w:w="0" w:type="dxa"/>
            <w:bottom w:w="0" w:type="dxa"/>
            <w:right w:w="0" w:type="dxa"/>
          </w:tblCellMar>
        </w:tblPrEx>
        <w:trPr>
          <w:trHeight w:val="450" w:hRule="atLeast"/>
        </w:trPr>
        <w:tc>
          <w:tcPr>
            <w:tcW w:w="1148" w:type="dxa"/>
            <w:gridSpan w:val="2"/>
            <w:vMerge w:val="continue"/>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7"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nil"/>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33"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Layout w:type="fixed"/>
          <w:tblCellMar>
            <w:top w:w="0" w:type="dxa"/>
            <w:left w:w="0" w:type="dxa"/>
            <w:bottom w:w="0" w:type="dxa"/>
            <w:right w:w="0" w:type="dxa"/>
          </w:tblCellMar>
        </w:tblPrEx>
        <w:trPr>
          <w:trHeight w:val="450" w:hRule="atLeast"/>
        </w:trPr>
        <w:tc>
          <w:tcPr>
            <w:tcW w:w="2424" w:type="dxa"/>
            <w:gridSpan w:val="3"/>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栏次</w:t>
            </w: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w:t>
            </w: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w:t>
            </w:r>
          </w:p>
        </w:tc>
      </w:tr>
      <w:tr>
        <w:tblPrEx>
          <w:tblLayout w:type="fixed"/>
          <w:tblCellMar>
            <w:top w:w="0" w:type="dxa"/>
            <w:left w:w="0" w:type="dxa"/>
            <w:bottom w:w="0" w:type="dxa"/>
            <w:right w:w="0" w:type="dxa"/>
          </w:tblCellMar>
        </w:tblPrEx>
        <w:trPr>
          <w:trHeight w:val="450" w:hRule="atLeast"/>
        </w:trPr>
        <w:tc>
          <w:tcPr>
            <w:tcW w:w="2424" w:type="dxa"/>
            <w:gridSpan w:val="3"/>
            <w:tcBorders>
              <w:top w:val="nil"/>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合计</w:t>
            </w: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Layout w:type="fixed"/>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Layout w:type="fixed"/>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Layout w:type="fixed"/>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Layout w:type="fixed"/>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Layout w:type="fixed"/>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Layout w:type="fixed"/>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Layout w:type="fixed"/>
          <w:tblCellMar>
            <w:top w:w="0" w:type="dxa"/>
            <w:left w:w="0" w:type="dxa"/>
            <w:bottom w:w="0" w:type="dxa"/>
            <w:right w:w="0" w:type="dxa"/>
          </w:tblCellMar>
        </w:tblPrEx>
        <w:trPr>
          <w:trHeight w:val="645" w:hRule="atLeast"/>
        </w:trPr>
        <w:tc>
          <w:tcPr>
            <w:tcW w:w="13988" w:type="dxa"/>
            <w:gridSpan w:val="9"/>
            <w:tcBorders>
              <w:top w:val="single" w:color="000000" w:sz="8" w:space="0"/>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注：本表反映部门本年度政府性基金预算财政拨款收入、支出及结转和结余情况。</w:t>
            </w:r>
          </w:p>
        </w:tc>
      </w:tr>
    </w:tbl>
    <w:p>
      <w:pPr>
        <w:jc w:val="center"/>
        <w:rPr>
          <w:rFonts w:hint="eastAsia" w:ascii="仿宋_GB2312" w:hAnsi="仿宋_GB2312" w:eastAsia="仿宋_GB2312" w:cs="仿宋_GB2312"/>
          <w:sz w:val="32"/>
          <w:szCs w:val="32"/>
          <w:highlight w:val="yellow"/>
        </w:rPr>
        <w:sectPr>
          <w:pgSz w:w="16838" w:h="11906" w:orient="landscape"/>
          <w:pgMar w:top="1800" w:right="1440" w:bottom="1800" w:left="1440" w:header="720" w:footer="720" w:gutter="0"/>
          <w:pgNumType w:fmt="numberInDash"/>
          <w:cols w:space="720" w:num="1"/>
          <w:docGrid w:type="lines" w:linePitch="312" w:charSpace="0"/>
        </w:sectPr>
      </w:pPr>
      <w:r>
        <w:rPr>
          <w:rFonts w:hint="eastAsia" w:ascii="仿宋_GB2312" w:hAnsi="仿宋_GB2312" w:eastAsia="仿宋_GB2312" w:cs="仿宋_GB2312"/>
          <w:sz w:val="32"/>
          <w:szCs w:val="32"/>
          <w:highlight w:val="yellow"/>
        </w:rPr>
        <w:t>说明：我部门没有政府性基金收入，也没有使用政府性基金安排的支出，故本表无数据。</w:t>
      </w: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outlineLvl w:val="0"/>
        <w:rPr>
          <w:rFonts w:hint="eastAsia" w:ascii="黑体" w:hAnsi="黑体" w:eastAsia="黑体" w:cs="黑体"/>
          <w:sz w:val="48"/>
          <w:szCs w:val="48"/>
        </w:rPr>
      </w:pPr>
      <w:r>
        <w:rPr>
          <w:rFonts w:hint="eastAsia" w:ascii="黑体" w:hAnsi="黑体" w:eastAsia="黑体" w:cs="黑体"/>
          <w:sz w:val="48"/>
          <w:szCs w:val="48"/>
        </w:rPr>
        <w:t xml:space="preserve">第三部分  </w:t>
      </w:r>
      <w:r>
        <w:rPr>
          <w:rFonts w:hint="eastAsia" w:ascii="黑体" w:hAnsi="黑体" w:eastAsia="黑体" w:cs="黑体"/>
          <w:sz w:val="48"/>
          <w:szCs w:val="48"/>
          <w:lang w:eastAsia="zh-CN"/>
        </w:rPr>
        <w:t>2021年</w:t>
      </w:r>
      <w:r>
        <w:rPr>
          <w:rFonts w:hint="eastAsia" w:ascii="黑体" w:hAnsi="黑体" w:eastAsia="黑体" w:cs="黑体"/>
          <w:sz w:val="48"/>
          <w:szCs w:val="48"/>
        </w:rPr>
        <w:t>度部门决算情况说明</w:t>
      </w:r>
    </w:p>
    <w:p>
      <w:pPr>
        <w:widowControl/>
        <w:jc w:val="left"/>
        <w:rPr>
          <w:rFonts w:hint="eastAsia" w:ascii="黑体" w:hAnsi="黑体" w:eastAsia="黑体" w:cs="黑体"/>
          <w:sz w:val="48"/>
          <w:szCs w:val="48"/>
        </w:rPr>
        <w:sectPr>
          <w:pgSz w:w="11906" w:h="16838"/>
          <w:pgMar w:top="1440" w:right="1800" w:bottom="1440" w:left="1800" w:header="720" w:footer="720" w:gutter="0"/>
          <w:pgNumType w:fmt="numberInDash"/>
          <w:cols w:space="720" w:num="1"/>
          <w:docGrid w:type="lines" w:linePitch="312" w:charSpace="0"/>
        </w:sectPr>
      </w:pP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一、收入支出决算总体情况说明</w:t>
      </w:r>
    </w:p>
    <w:p>
      <w:pPr>
        <w:widowControl/>
        <w:spacing w:line="59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度收、支总计均为</w:t>
      </w:r>
      <w:r>
        <w:rPr>
          <w:rFonts w:hint="eastAsia" w:ascii="仿宋_GB2312" w:hAnsi="仿宋_GB2312" w:eastAsia="仿宋_GB2312" w:cs="仿宋_GB2312"/>
          <w:sz w:val="32"/>
          <w:szCs w:val="32"/>
          <w:lang w:val="en-US" w:eastAsia="zh-CN"/>
        </w:rPr>
        <w:t>284.25</w:t>
      </w:r>
      <w:r>
        <w:rPr>
          <w:rFonts w:hint="eastAsia" w:ascii="仿宋_GB2312" w:hAnsi="仿宋_GB2312" w:eastAsia="仿宋_GB2312" w:cs="仿宋_GB2312"/>
          <w:sz w:val="32"/>
          <w:szCs w:val="32"/>
        </w:rPr>
        <w:t>万元。与上年度相比，收、支总计各增加</w:t>
      </w:r>
      <w:r>
        <w:rPr>
          <w:rFonts w:hint="eastAsia" w:ascii="仿宋_GB2312" w:hAnsi="仿宋_GB2312" w:eastAsia="仿宋_GB2312" w:cs="仿宋_GB2312"/>
          <w:sz w:val="32"/>
          <w:szCs w:val="32"/>
          <w:lang w:val="en-US" w:eastAsia="zh-CN"/>
        </w:rPr>
        <w:t>38.22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15.53</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项目资金的增加</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二、收入决算情况说明</w:t>
      </w:r>
    </w:p>
    <w:p>
      <w:pPr>
        <w:widowControl/>
        <w:spacing w:line="59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度收入合计</w:t>
      </w:r>
      <w:r>
        <w:rPr>
          <w:rFonts w:hint="eastAsia" w:ascii="仿宋_GB2312" w:hAnsi="仿宋_GB2312" w:eastAsia="仿宋_GB2312" w:cs="仿宋_GB2312"/>
          <w:sz w:val="32"/>
          <w:szCs w:val="32"/>
          <w:lang w:val="en-US" w:eastAsia="zh-CN"/>
        </w:rPr>
        <w:t>232.88</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231.19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99.27</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0.73</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三、支出决算情况说明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度支出合计</w:t>
      </w:r>
      <w:r>
        <w:rPr>
          <w:rFonts w:hint="eastAsia" w:ascii="仿宋_GB2312" w:hAnsi="仿宋_GB2312" w:eastAsia="仿宋_GB2312" w:cs="仿宋_GB2312"/>
          <w:sz w:val="32"/>
          <w:szCs w:val="32"/>
          <w:lang w:val="en-US" w:eastAsia="zh-CN"/>
        </w:rPr>
        <w:t>231.25</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86.85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37.56</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144.4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62.44</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四、财政拨款收入支出决算总体情况说明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度财政拨款收、支总计均为</w:t>
      </w:r>
      <w:r>
        <w:rPr>
          <w:rFonts w:hint="eastAsia" w:ascii="仿宋_GB2312" w:hAnsi="仿宋_GB2312" w:eastAsia="仿宋_GB2312" w:cs="仿宋_GB2312"/>
          <w:sz w:val="32"/>
          <w:szCs w:val="32"/>
          <w:lang w:val="en-US" w:eastAsia="zh-CN"/>
        </w:rPr>
        <w:t>265.04</w:t>
      </w:r>
      <w:r>
        <w:rPr>
          <w:rFonts w:hint="eastAsia" w:ascii="仿宋_GB2312" w:hAnsi="仿宋_GB2312" w:eastAsia="仿宋_GB2312" w:cs="仿宋_GB2312"/>
          <w:sz w:val="32"/>
          <w:szCs w:val="32"/>
        </w:rPr>
        <w:t>万元。与上年度相比，财政拨款收、支总计各增加</w:t>
      </w:r>
      <w:r>
        <w:rPr>
          <w:rFonts w:hint="eastAsia" w:ascii="仿宋_GB2312" w:hAnsi="仿宋_GB2312" w:eastAsia="仿宋_GB2312" w:cs="仿宋_GB2312"/>
          <w:sz w:val="32"/>
          <w:szCs w:val="32"/>
          <w:lang w:val="en-US" w:eastAsia="zh-CN"/>
        </w:rPr>
        <w:t>52.02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24.42</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项目资金的增加</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五、一般公共预算财政拨款支出决算情况说明</w:t>
      </w:r>
    </w:p>
    <w:p>
      <w:pPr>
        <w:widowControl/>
        <w:spacing w:line="59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（一）总体情况。</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度一般公共预算财政拨款支出</w:t>
      </w:r>
      <w:r>
        <w:rPr>
          <w:rFonts w:hint="eastAsia" w:ascii="仿宋_GB2312" w:hAnsi="仿宋_GB2312" w:eastAsia="仿宋_GB2312" w:cs="仿宋_GB2312"/>
          <w:sz w:val="32"/>
          <w:szCs w:val="32"/>
          <w:lang w:val="en-US" w:eastAsia="zh-CN"/>
        </w:rPr>
        <w:t>212.03</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91.69</w:t>
      </w:r>
      <w:r>
        <w:rPr>
          <w:rFonts w:hint="eastAsia" w:ascii="仿宋_GB2312" w:hAnsi="仿宋_GB2312" w:eastAsia="仿宋_GB2312" w:cs="仿宋_GB2312"/>
          <w:sz w:val="32"/>
          <w:szCs w:val="32"/>
        </w:rPr>
        <w:t>%。与上年度相比，一般公共预算财政拨款支出增加</w:t>
      </w:r>
      <w:r>
        <w:rPr>
          <w:rFonts w:hint="eastAsia" w:ascii="仿宋_GB2312" w:hAnsi="仿宋_GB2312" w:eastAsia="仿宋_GB2312" w:cs="仿宋_GB2312"/>
          <w:sz w:val="32"/>
          <w:szCs w:val="32"/>
          <w:lang w:val="en-US" w:eastAsia="zh-CN"/>
        </w:rPr>
        <w:t>32.86</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18.34</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项目资金的增加</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（二）结构情况。</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度一般公共预算财政拨款支出</w:t>
      </w:r>
      <w:r>
        <w:rPr>
          <w:rFonts w:hint="eastAsia" w:ascii="仿宋_GB2312" w:hAnsi="仿宋_GB2312" w:eastAsia="仿宋_GB2312" w:cs="仿宋_GB2312"/>
          <w:sz w:val="32"/>
          <w:szCs w:val="32"/>
          <w:lang w:val="en-US" w:eastAsia="zh-CN"/>
        </w:rPr>
        <w:t>212.03</w:t>
      </w:r>
      <w:r>
        <w:rPr>
          <w:rFonts w:hint="eastAsia" w:ascii="仿宋_GB2312" w:hAnsi="仿宋_GB2312" w:eastAsia="仿宋_GB2312" w:cs="仿宋_GB2312"/>
          <w:sz w:val="32"/>
          <w:szCs w:val="32"/>
        </w:rPr>
        <w:t>万元，主要用于以下方面：一般公共服务（类）支出</w:t>
      </w:r>
      <w:r>
        <w:rPr>
          <w:rFonts w:hint="eastAsia" w:ascii="仿宋_GB2312" w:hAnsi="仿宋_GB2312" w:eastAsia="仿宋_GB2312" w:cs="仿宋_GB2312"/>
          <w:sz w:val="32"/>
          <w:szCs w:val="32"/>
          <w:lang w:val="en-US" w:eastAsia="zh-CN"/>
        </w:rPr>
        <w:t>196.16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92.52</w:t>
      </w:r>
      <w:r>
        <w:rPr>
          <w:rFonts w:hint="eastAsia" w:ascii="仿宋_GB2312" w:hAnsi="仿宋_GB2312" w:eastAsia="仿宋_GB2312" w:cs="仿宋_GB2312"/>
          <w:sz w:val="32"/>
          <w:szCs w:val="32"/>
        </w:rPr>
        <w:t>%；社会保障和就业（类）支出</w:t>
      </w:r>
      <w:r>
        <w:rPr>
          <w:rFonts w:hint="eastAsia" w:ascii="仿宋_GB2312" w:hAnsi="仿宋_GB2312" w:eastAsia="仿宋_GB2312" w:cs="仿宋_GB2312"/>
          <w:sz w:val="32"/>
          <w:szCs w:val="32"/>
          <w:lang w:val="en-US" w:eastAsia="zh-CN"/>
        </w:rPr>
        <w:t>6.12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2.89</w:t>
      </w:r>
      <w:r>
        <w:rPr>
          <w:rFonts w:hint="eastAsia" w:ascii="仿宋_GB2312" w:hAnsi="仿宋_GB2312" w:eastAsia="仿宋_GB2312" w:cs="仿宋_GB2312"/>
          <w:sz w:val="32"/>
          <w:szCs w:val="32"/>
        </w:rPr>
        <w:t>%；卫生健康（类）支出</w:t>
      </w:r>
      <w:r>
        <w:rPr>
          <w:rFonts w:hint="eastAsia" w:ascii="仿宋_GB2312" w:hAnsi="仿宋_GB2312" w:eastAsia="仿宋_GB2312" w:cs="仿宋_GB2312"/>
          <w:sz w:val="32"/>
          <w:szCs w:val="32"/>
          <w:lang w:val="en-US" w:eastAsia="zh-CN"/>
        </w:rPr>
        <w:t>5.19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2.45</w:t>
      </w:r>
      <w:r>
        <w:rPr>
          <w:rFonts w:hint="eastAsia" w:ascii="仿宋_GB2312" w:hAnsi="仿宋_GB2312" w:eastAsia="仿宋_GB2312" w:cs="仿宋_GB2312"/>
          <w:sz w:val="32"/>
          <w:szCs w:val="32"/>
        </w:rPr>
        <w:t>%；住房保障（类）支出</w:t>
      </w:r>
      <w:r>
        <w:rPr>
          <w:rFonts w:hint="eastAsia" w:ascii="仿宋_GB2312" w:hAnsi="仿宋_GB2312" w:eastAsia="仿宋_GB2312" w:cs="仿宋_GB2312"/>
          <w:sz w:val="32"/>
          <w:szCs w:val="32"/>
          <w:lang w:val="en-US" w:eastAsia="zh-CN"/>
        </w:rPr>
        <w:t>4.57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2.16</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（三）具体情况。</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度一般公共预算财政拨款支出年初预算为</w:t>
      </w:r>
      <w:r>
        <w:rPr>
          <w:rFonts w:hint="eastAsia" w:ascii="仿宋_GB2312" w:hAnsi="仿宋_GB2312" w:eastAsia="仿宋_GB2312" w:cs="仿宋_GB2312"/>
          <w:sz w:val="32"/>
          <w:szCs w:val="32"/>
          <w:lang w:val="en-US" w:eastAsia="zh-CN"/>
        </w:rPr>
        <w:t>218.59</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212.03</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96.99</w:t>
      </w:r>
      <w:r>
        <w:rPr>
          <w:rFonts w:hint="eastAsia" w:ascii="仿宋_GB2312" w:hAnsi="仿宋_GB2312" w:eastAsia="仿宋_GB2312" w:cs="仿宋_GB2312"/>
          <w:sz w:val="32"/>
          <w:szCs w:val="32"/>
        </w:rPr>
        <w:t>%。其中：</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1．一般公共服务（类）市场监督管理事务（款）质量基础（项）。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149</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126.88</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85.15</w:t>
      </w:r>
      <w:r>
        <w:rPr>
          <w:rFonts w:hint="eastAsia" w:ascii="仿宋_GB2312" w:hAnsi="仿宋_GB2312" w:eastAsia="仿宋_GB2312" w:cs="仿宋_GB2312"/>
          <w:sz w:val="32"/>
          <w:szCs w:val="32"/>
        </w:rPr>
        <w:t>%。决算数与年初预算数存在差异的主要原因是</w:t>
      </w:r>
      <w:r>
        <w:rPr>
          <w:rFonts w:hint="eastAsia" w:ascii="仿宋_GB2312" w:hAnsi="仿宋_GB2312" w:eastAsia="仿宋_GB2312" w:cs="仿宋_GB2312"/>
          <w:sz w:val="32"/>
          <w:szCs w:val="32"/>
          <w:lang w:eastAsia="zh-CN"/>
        </w:rPr>
        <w:t>上缴财政专户款没有及时返款</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2．一般公共服务（类）市场监督管理事务（款）</w:t>
      </w:r>
      <w:r>
        <w:rPr>
          <w:rFonts w:hint="eastAsia" w:ascii="仿宋_GB2312" w:hAnsi="仿宋_GB2312" w:eastAsia="仿宋_GB2312" w:cs="仿宋_GB2312"/>
          <w:b/>
          <w:bCs/>
          <w:sz w:val="32"/>
          <w:szCs w:val="32"/>
          <w:lang w:val="en-US" w:eastAsia="zh-CN"/>
        </w:rPr>
        <w:t>事业运行</w:t>
      </w:r>
      <w:r>
        <w:rPr>
          <w:rFonts w:hint="eastAsia" w:ascii="仿宋_GB2312" w:hAnsi="仿宋_GB2312" w:eastAsia="仿宋_GB2312" w:cs="仿宋_GB2312"/>
          <w:b/>
          <w:bCs/>
          <w:sz w:val="32"/>
          <w:szCs w:val="32"/>
        </w:rPr>
        <w:t>（项）。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56.46</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69.28</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122.7</w:t>
      </w:r>
      <w:r>
        <w:rPr>
          <w:rFonts w:hint="eastAsia" w:ascii="仿宋_GB2312" w:hAnsi="仿宋_GB2312" w:eastAsia="仿宋_GB2312" w:cs="仿宋_GB2312"/>
          <w:sz w:val="32"/>
          <w:szCs w:val="32"/>
        </w:rPr>
        <w:t>%。决算数与年初预算数存在差异的主要原因是</w:t>
      </w:r>
      <w:r>
        <w:rPr>
          <w:rFonts w:hint="eastAsia" w:ascii="仿宋_GB2312" w:hAnsi="仿宋_GB2312" w:eastAsia="仿宋_GB2312" w:cs="仿宋_GB2312"/>
          <w:sz w:val="32"/>
          <w:szCs w:val="32"/>
          <w:lang w:eastAsia="zh-CN"/>
        </w:rPr>
        <w:t>人员经费的增加</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．社会保障和就业（类）行政事业单位养老（款）机关事业单位基本养老保险缴费（项）。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5.22</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6.12</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117.24</w:t>
      </w:r>
      <w:r>
        <w:rPr>
          <w:rFonts w:hint="eastAsia" w:ascii="仿宋_GB2312" w:hAnsi="仿宋_GB2312" w:eastAsia="仿宋_GB2312" w:cs="仿宋_GB2312"/>
          <w:sz w:val="32"/>
          <w:szCs w:val="32"/>
        </w:rPr>
        <w:t>%。决算数与年初预算数存在差异的主要原因是</w:t>
      </w:r>
      <w:r>
        <w:rPr>
          <w:rFonts w:hint="eastAsia" w:ascii="仿宋_GB2312" w:hAnsi="仿宋_GB2312" w:eastAsia="仿宋_GB2312" w:cs="仿宋_GB2312"/>
          <w:sz w:val="32"/>
          <w:szCs w:val="32"/>
          <w:lang w:val="en-US" w:eastAsia="zh-CN"/>
        </w:rPr>
        <w:t>人员社保基数的调整</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．卫生健康（类）行政事业单位医疗（款）事业单位医疗（项）。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5.19</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129.75</w:t>
      </w:r>
      <w:r>
        <w:rPr>
          <w:rFonts w:hint="eastAsia" w:ascii="仿宋_GB2312" w:hAnsi="仿宋_GB2312" w:eastAsia="仿宋_GB2312" w:cs="仿宋_GB2312"/>
          <w:sz w:val="32"/>
          <w:szCs w:val="32"/>
        </w:rPr>
        <w:t>%。决算数与年初预算数存在差异的主要原因是</w:t>
      </w:r>
      <w:r>
        <w:rPr>
          <w:rFonts w:hint="eastAsia" w:ascii="仿宋_GB2312" w:hAnsi="仿宋_GB2312" w:eastAsia="仿宋_GB2312" w:cs="仿宋_GB2312"/>
          <w:sz w:val="32"/>
          <w:szCs w:val="32"/>
          <w:lang w:val="en-US" w:eastAsia="zh-CN"/>
        </w:rPr>
        <w:t>人员社保基数的调整</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．住房保障（类）</w:t>
      </w:r>
      <w:r>
        <w:rPr>
          <w:rFonts w:hint="eastAsia" w:ascii="仿宋_GB2312" w:hAnsi="仿宋_GB2312" w:eastAsia="仿宋_GB2312" w:cs="仿宋_GB2312"/>
          <w:b/>
          <w:bCs/>
          <w:sz w:val="32"/>
          <w:szCs w:val="32"/>
          <w:lang w:val="en-US" w:eastAsia="zh-CN"/>
        </w:rPr>
        <w:t>住房改革</w:t>
      </w:r>
      <w:r>
        <w:rPr>
          <w:rFonts w:hint="eastAsia" w:ascii="仿宋_GB2312" w:hAnsi="仿宋_GB2312" w:eastAsia="仿宋_GB2312" w:cs="仿宋_GB2312"/>
          <w:b/>
          <w:bCs/>
          <w:sz w:val="32"/>
          <w:szCs w:val="32"/>
        </w:rPr>
        <w:t>（款）</w:t>
      </w:r>
      <w:r>
        <w:rPr>
          <w:rFonts w:hint="eastAsia" w:ascii="仿宋_GB2312" w:hAnsi="仿宋_GB2312" w:eastAsia="仿宋_GB2312" w:cs="仿宋_GB2312"/>
          <w:b/>
          <w:bCs/>
          <w:sz w:val="32"/>
          <w:szCs w:val="32"/>
          <w:lang w:val="en-US" w:eastAsia="zh-CN"/>
        </w:rPr>
        <w:t>住房公积金</w:t>
      </w:r>
      <w:r>
        <w:rPr>
          <w:rFonts w:hint="eastAsia" w:ascii="仿宋_GB2312" w:hAnsi="仿宋_GB2312" w:eastAsia="仿宋_GB2312" w:cs="仿宋_GB2312"/>
          <w:b/>
          <w:bCs/>
          <w:sz w:val="32"/>
          <w:szCs w:val="32"/>
        </w:rPr>
        <w:t>（项）。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3.91</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4.57</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116.87</w:t>
      </w:r>
      <w:r>
        <w:rPr>
          <w:rFonts w:hint="eastAsia" w:ascii="仿宋_GB2312" w:hAnsi="仿宋_GB2312" w:eastAsia="仿宋_GB2312" w:cs="仿宋_GB2312"/>
          <w:sz w:val="32"/>
          <w:szCs w:val="32"/>
        </w:rPr>
        <w:t>%。决算数与年初预算数存在差异的主要原因是</w:t>
      </w:r>
      <w:r>
        <w:rPr>
          <w:rFonts w:hint="eastAsia" w:ascii="仿宋_GB2312" w:hAnsi="仿宋_GB2312" w:eastAsia="仿宋_GB2312" w:cs="仿宋_GB2312"/>
          <w:sz w:val="32"/>
          <w:szCs w:val="32"/>
          <w:lang w:val="en-US" w:eastAsia="zh-CN"/>
        </w:rPr>
        <w:t>人员社保基数的调整</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六、一般公共预算财政拨款基本支出决算情况说明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度一般公共预算财政拨款基本支出</w:t>
      </w:r>
      <w:r>
        <w:rPr>
          <w:rFonts w:hint="eastAsia" w:ascii="仿宋_GB2312" w:hAnsi="仿宋_GB2312" w:eastAsia="仿宋_GB2312" w:cs="仿宋_GB2312"/>
          <w:sz w:val="32"/>
          <w:szCs w:val="32"/>
          <w:lang w:val="en-US" w:eastAsia="zh-CN"/>
        </w:rPr>
        <w:t>85.16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rPr>
        <w:t>与上年度相比，增加</w:t>
      </w:r>
      <w:r>
        <w:rPr>
          <w:rFonts w:hint="eastAsia" w:ascii="仿宋_GB2312" w:hAnsi="仿宋_GB2312" w:eastAsia="仿宋_GB2312" w:cs="仿宋_GB2312"/>
          <w:sz w:val="32"/>
          <w:szCs w:val="32"/>
          <w:highlight w:val="none"/>
          <w:lang w:val="en-US" w:eastAsia="zh-CN"/>
        </w:rPr>
        <w:t>5.7</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7.17</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eastAsia="zh-CN"/>
        </w:rPr>
        <w:t>人员经费的增加。</w:t>
      </w:r>
      <w:r>
        <w:rPr>
          <w:rFonts w:hint="eastAsia" w:ascii="仿宋_GB2312" w:hAnsi="仿宋_GB2312" w:eastAsia="仿宋_GB2312" w:cs="仿宋_GB2312"/>
          <w:sz w:val="32"/>
          <w:szCs w:val="32"/>
        </w:rPr>
        <w:t>其中：人员经费</w:t>
      </w:r>
      <w:r>
        <w:rPr>
          <w:rFonts w:hint="eastAsia" w:ascii="仿宋_GB2312" w:hAnsi="仿宋_GB2312" w:eastAsia="仿宋_GB2312" w:cs="仿宋_GB2312"/>
          <w:sz w:val="32"/>
          <w:szCs w:val="32"/>
          <w:lang w:val="en-US" w:eastAsia="zh-CN"/>
        </w:rPr>
        <w:t>81.86</w:t>
      </w:r>
      <w:r>
        <w:rPr>
          <w:rFonts w:hint="eastAsia" w:ascii="仿宋_GB2312" w:hAnsi="仿宋_GB2312" w:eastAsia="仿宋_GB2312" w:cs="仿宋_GB2312"/>
          <w:sz w:val="32"/>
          <w:szCs w:val="32"/>
        </w:rPr>
        <w:t>万元，主要包括：基本工资、津贴补贴、奖金、绩效工资、机关事业单位基本养老保险缴费、职业年金缴费、职工基本医疗保险缴费、其他社会保障缴费、住房公积金；公用经费</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万元，主要包括：办公费、电费、邮电费、</w:t>
      </w:r>
      <w:r>
        <w:rPr>
          <w:rFonts w:hint="eastAsia" w:ascii="仿宋_GB2312" w:hAnsi="仿宋_GB2312" w:eastAsia="仿宋_GB2312" w:cs="仿宋_GB2312"/>
          <w:sz w:val="32"/>
          <w:szCs w:val="32"/>
          <w:lang w:val="en-US" w:eastAsia="zh-CN"/>
        </w:rPr>
        <w:t>工会经费、</w:t>
      </w:r>
      <w:r>
        <w:rPr>
          <w:rFonts w:hint="eastAsia" w:ascii="仿宋_GB2312" w:hAnsi="仿宋_GB2312" w:eastAsia="仿宋_GB2312" w:cs="仿宋_GB2312"/>
          <w:sz w:val="32"/>
          <w:szCs w:val="32"/>
        </w:rPr>
        <w:t>福利费、其他商品和服务支出。</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七、一般公共预算财政拨款“三公”经费支出决算情况说明</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（一）“三公”经费财政拨款支出决算总体情况说明。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度“三公”经费财政拨款支出预算为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0.37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度“三公”经费支出决算数与预算数存在差异的主要原因是</w:t>
      </w:r>
      <w:r>
        <w:rPr>
          <w:rFonts w:hint="eastAsia" w:ascii="仿宋_GB2312" w:hAnsi="仿宋_GB2312" w:eastAsia="仿宋_GB2312" w:cs="仿宋_GB2312"/>
          <w:sz w:val="32"/>
          <w:szCs w:val="32"/>
          <w:lang w:eastAsia="zh-CN"/>
        </w:rPr>
        <w:t>我单位为自收自支事业单位，因业务的需要今年临时增加公务接待费支出</w:t>
      </w:r>
      <w:r>
        <w:rPr>
          <w:rFonts w:hint="eastAsia" w:ascii="仿宋_GB2312" w:hAnsi="仿宋_GB2312" w:eastAsia="仿宋_GB2312" w:cs="仿宋_GB2312"/>
          <w:sz w:val="32"/>
          <w:szCs w:val="32"/>
        </w:rPr>
        <w:t>。</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（二）“三公”经费财政拨款支出决算具体情况说明。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0.37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%。具体情况如下：</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1．因公出国（境）费</w:t>
      </w:r>
      <w:r>
        <w:rPr>
          <w:rFonts w:hint="eastAsia" w:ascii="仿宋_GB2312" w:hAnsi="仿宋_GB2312" w:eastAsia="仿宋_GB2312" w:cs="仿宋_GB2312"/>
          <w:sz w:val="32"/>
          <w:szCs w:val="32"/>
        </w:rPr>
        <w:t>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%。决算数与预算数存在差异的主要原因是</w:t>
      </w:r>
      <w:r>
        <w:rPr>
          <w:rFonts w:hint="eastAsia" w:ascii="仿宋_GB2312" w:hAnsi="仿宋_GB2312" w:eastAsia="仿宋_GB2312" w:cs="仿宋_GB2312"/>
          <w:sz w:val="32"/>
          <w:szCs w:val="32"/>
          <w:lang w:val="en-US" w:eastAsia="zh-CN"/>
        </w:rPr>
        <w:t>没有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none"/>
        </w:rPr>
        <w:t>全年因公出国（境）团组</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个，累计</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人次。</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2．公务用车购置及运行费</w:t>
      </w:r>
      <w:r>
        <w:rPr>
          <w:rFonts w:hint="eastAsia" w:ascii="仿宋_GB2312" w:hAnsi="仿宋_GB2312" w:eastAsia="仿宋_GB2312" w:cs="仿宋_GB2312"/>
          <w:sz w:val="32"/>
          <w:szCs w:val="32"/>
        </w:rPr>
        <w:t>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%。决算数与预算数存在差异的主要原因是</w:t>
      </w:r>
      <w:r>
        <w:rPr>
          <w:rFonts w:hint="eastAsia" w:ascii="仿宋_GB2312" w:hAnsi="仿宋_GB2312" w:eastAsia="仿宋_GB2312" w:cs="仿宋_GB2312"/>
          <w:sz w:val="32"/>
          <w:szCs w:val="32"/>
          <w:lang w:val="en-US" w:eastAsia="zh-CN"/>
        </w:rPr>
        <w:t>我单位没有公车，</w:t>
      </w:r>
      <w:r>
        <w:rPr>
          <w:rFonts w:hint="eastAsia" w:ascii="仿宋_GB2312" w:hAnsi="仿宋_GB2312" w:eastAsia="仿宋_GB2312"/>
          <w:sz w:val="32"/>
          <w:szCs w:val="24"/>
          <w:lang w:val="en-US" w:eastAsia="zh-CN"/>
        </w:rPr>
        <w:t>所以没有产生公车运行费</w:t>
      </w:r>
      <w:r>
        <w:rPr>
          <w:rFonts w:hint="eastAsia" w:ascii="仿宋_GB2312" w:hAnsi="仿宋_GB2312" w:eastAsia="仿宋_GB2312" w:cs="仿宋_GB2312"/>
          <w:sz w:val="32"/>
          <w:szCs w:val="32"/>
        </w:rPr>
        <w:t>。其中：</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公务用车购置支出</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万元，购置车辆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公务用车运行支出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期末，部门开支财政拨款的公务用车保有量为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3.公务接待费</w:t>
      </w:r>
      <w:r>
        <w:rPr>
          <w:rFonts w:hint="eastAsia" w:ascii="仿宋_GB2312" w:hAnsi="仿宋_GB2312" w:eastAsia="仿宋_GB2312" w:cs="仿宋_GB2312"/>
          <w:sz w:val="32"/>
          <w:szCs w:val="32"/>
          <w:highlight w:val="none"/>
        </w:rPr>
        <w:t>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0.37</w:t>
      </w:r>
      <w:r>
        <w:rPr>
          <w:rFonts w:hint="eastAsia" w:ascii="仿宋_GB2312" w:hAnsi="仿宋_GB2312" w:eastAsia="仿宋_GB2312" w:cs="仿宋_GB2312"/>
          <w:sz w:val="32"/>
          <w:szCs w:val="32"/>
          <w:highlight w:val="none"/>
        </w:rPr>
        <w:t>万元。决算数与预算数存在差异的主要原因是</w:t>
      </w:r>
      <w:r>
        <w:rPr>
          <w:rFonts w:hint="eastAsia" w:ascii="仿宋_GB2312" w:hAnsi="仿宋_GB2312" w:eastAsia="仿宋_GB2312" w:cs="仿宋_GB2312"/>
          <w:sz w:val="32"/>
          <w:szCs w:val="32"/>
          <w:highlight w:val="none"/>
          <w:lang w:eastAsia="zh-CN"/>
        </w:rPr>
        <w:t>我单位为自收自支事业单位，因业务的需要今年临时增加公务接待费支出</w:t>
      </w:r>
      <w:r>
        <w:rPr>
          <w:rFonts w:hint="eastAsia" w:ascii="仿宋_GB2312" w:hAnsi="仿宋_GB2312" w:eastAsia="仿宋_GB2312" w:cs="仿宋_GB2312"/>
          <w:sz w:val="32"/>
          <w:szCs w:val="32"/>
          <w:highlight w:val="none"/>
        </w:rPr>
        <w:t>。其中：</w:t>
      </w:r>
    </w:p>
    <w:p>
      <w:pPr>
        <w:widowControl/>
        <w:spacing w:line="590" w:lineRule="exact"/>
        <w:ind w:firstLine="643" w:firstLineChars="200"/>
        <w:rPr>
          <w:rFonts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外宾接待支出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2021年</w:t>
      </w:r>
      <w:r>
        <w:rPr>
          <w:rFonts w:hint="eastAsia" w:ascii="仿宋_GB2312" w:hAnsi="仿宋_GB2312" w:eastAsia="仿宋_GB2312" w:cs="仿宋_GB2312"/>
          <w:sz w:val="32"/>
          <w:szCs w:val="32"/>
          <w:highlight w:val="none"/>
        </w:rPr>
        <w:t>共接待国（境）外来访团组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个、来访外宾</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人次（不包括陪同人员）。</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其他国内公务接待支出</w:t>
      </w:r>
      <w:r>
        <w:rPr>
          <w:rFonts w:hint="eastAsia" w:ascii="仿宋_GB2312" w:hAnsi="仿宋_GB2312" w:eastAsia="仿宋_GB2312" w:cs="仿宋_GB2312"/>
          <w:sz w:val="32"/>
          <w:szCs w:val="32"/>
          <w:highlight w:val="none"/>
          <w:lang w:val="en-US" w:eastAsia="zh-CN"/>
        </w:rPr>
        <w:t>0.37</w:t>
      </w:r>
      <w:r>
        <w:rPr>
          <w:rFonts w:hint="eastAsia" w:ascii="仿宋_GB2312" w:hAnsi="仿宋_GB2312" w:eastAsia="仿宋_GB2312" w:cs="仿宋_GB2312"/>
          <w:sz w:val="32"/>
          <w:szCs w:val="32"/>
          <w:highlight w:val="none"/>
        </w:rPr>
        <w:t>万元。主要用于</w:t>
      </w:r>
      <w:r>
        <w:rPr>
          <w:rFonts w:hint="eastAsia" w:ascii="仿宋_GB2312" w:hAnsi="仿宋_GB2312" w:eastAsia="仿宋_GB2312" w:cs="仿宋_GB2312"/>
          <w:sz w:val="32"/>
          <w:szCs w:val="32"/>
          <w:highlight w:val="none"/>
          <w:lang w:eastAsia="zh-CN"/>
        </w:rPr>
        <w:t>业务考察招待其他单位领导</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2021年</w:t>
      </w:r>
      <w:r>
        <w:rPr>
          <w:rFonts w:hint="eastAsia" w:ascii="仿宋_GB2312" w:hAnsi="仿宋_GB2312" w:eastAsia="仿宋_GB2312" w:cs="仿宋_GB2312"/>
          <w:sz w:val="32"/>
          <w:szCs w:val="32"/>
          <w:highlight w:val="none"/>
        </w:rPr>
        <w:t>共接待国内来访团组</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个、来宾</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人次（不包括陪同人员）。</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八、预算绩效情况说明</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（一）绩效管理工作开展情况。</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
        </w:rPr>
        <w:t>2021年，我单位纳入预算绩效管理的支出总额为85.16万元，其中人员经费支出81.86万元，公用经费支出3.3万元；支出项目共4个，支出金额126.88万元。其中，进行项目绩效自评4个，自评金额126.88万元；纳入重点绩效评价（部门评价或财政评价）4个，评价金额126.88万元。</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（二）项目绩效自评结果。</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单位对2021年度预算项目执行情况开展全面自评，涵盖项目</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个，涉及预算资金</w:t>
      </w:r>
      <w:r>
        <w:rPr>
          <w:rFonts w:hint="eastAsia" w:ascii="仿宋_GB2312" w:hAnsi="仿宋_GB2312" w:eastAsia="仿宋_GB2312" w:cs="仿宋_GB2312"/>
          <w:sz w:val="32"/>
          <w:szCs w:val="32"/>
          <w:lang w:val="en-US" w:eastAsia="zh-CN"/>
        </w:rPr>
        <w:t>126.88</w:t>
      </w:r>
      <w:r>
        <w:rPr>
          <w:rFonts w:hint="eastAsia" w:ascii="仿宋_GB2312" w:hAnsi="仿宋_GB2312" w:eastAsia="仿宋_GB2312" w:cs="仿宋_GB2312"/>
          <w:sz w:val="32"/>
          <w:szCs w:val="32"/>
        </w:rPr>
        <w:t>万元，其中自评等级为优的项目</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个，自评等级为良项目0个，自评等级为中项目0个。从评价情况来看，部门整体支出绩效指标设置基本合理, 符合全面深化改革要求，能较好体现单位主要职能,符合单位实际和财务管理要求，资金使用审批程序严格，较好的完成了年度绩效目标，产生了良好的社会经济效益。</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（三）重点绩效评价结果。</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重点绩效自评结果良好。</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九、政府性基金预算财政拨款支出决算情况说明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度政府性基金预算财政拨款支出年初预算为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我部门没有政府性基金收入，也没有使用政府性基金安排的支出，故本表无数据。</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十、机关运行经费支出情况说明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度机关运行经费</w:t>
      </w:r>
      <w:r>
        <w:rPr>
          <w:rFonts w:hint="eastAsia" w:ascii="仿宋_GB2312" w:hAnsi="仿宋_GB2312" w:eastAsia="仿宋_GB2312" w:cs="仿宋_GB2312"/>
          <w:sz w:val="32"/>
          <w:szCs w:val="32"/>
          <w:u w:val="dotDash"/>
        </w:rPr>
        <w:t>年</w:t>
      </w:r>
      <w:r>
        <w:rPr>
          <w:rFonts w:hint="eastAsia" w:ascii="仿宋_GB2312" w:hAnsi="仿宋_GB2312" w:eastAsia="仿宋_GB2312" w:cs="仿宋_GB2312"/>
          <w:sz w:val="32"/>
          <w:szCs w:val="32"/>
        </w:rPr>
        <w:t>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2021年</w:t>
      </w:r>
      <w:r>
        <w:rPr>
          <w:rFonts w:hint="eastAsia" w:ascii="仿宋_GB2312" w:hAnsi="仿宋_GB2312" w:eastAsia="仿宋_GB2312" w:cs="仿宋_GB2312"/>
          <w:sz w:val="32"/>
          <w:szCs w:val="32"/>
          <w:highlight w:val="none"/>
        </w:rPr>
        <w:t>度机关运行经费支出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万元，较上年度增加（减少）</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万元，增长（下降）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我单位不是行政机关，也不是参照公务员管理事业单位，没有机关运行费支出。</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十一、政府采购支出情况说明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十二、国有资产占用情况说明</w:t>
      </w:r>
    </w:p>
    <w:p>
      <w:pPr>
        <w:widowControl/>
        <w:jc w:val="left"/>
        <w:rPr>
          <w:rFonts w:hint="eastAsia" w:ascii="楷体_GB2312" w:hAnsi="楷体_GB2312" w:eastAsia="楷体_GB2312" w:cs="楷体_GB2312"/>
          <w:sz w:val="32"/>
          <w:szCs w:val="32"/>
        </w:rPr>
        <w:sectPr>
          <w:pgSz w:w="11906" w:h="16838"/>
          <w:pgMar w:top="1440" w:right="1800" w:bottom="1440" w:left="1800" w:header="720" w:footer="720" w:gutter="0"/>
          <w:pgNumType w:fmt="numberInDash"/>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202</w:t>
      </w:r>
      <w:bookmarkStart w:id="0" w:name="_GoBack"/>
      <w:bookmarkEnd w:id="0"/>
      <w:r>
        <w:rPr>
          <w:rFonts w:hint="eastAsia" w:ascii="仿宋_GB2312" w:hAnsi="仿宋_GB2312" w:eastAsia="仿宋_GB2312" w:cs="仿宋_GB2312"/>
          <w:sz w:val="32"/>
          <w:szCs w:val="32"/>
          <w:lang w:eastAsia="zh-CN"/>
        </w:rPr>
        <w:t>1年</w:t>
      </w:r>
      <w:r>
        <w:rPr>
          <w:rFonts w:hint="eastAsia" w:ascii="仿宋_GB2312" w:hAnsi="仿宋_GB2312" w:eastAsia="仿宋_GB2312" w:cs="仿宋_GB2312"/>
          <w:sz w:val="32"/>
          <w:szCs w:val="32"/>
        </w:rPr>
        <w:t>期末，我部门共有车辆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p>
    <w:tbl>
      <w:tblPr>
        <w:tblStyle w:val="6"/>
        <w:tblW w:w="87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3"/>
        <w:gridCol w:w="703"/>
        <w:gridCol w:w="703"/>
        <w:gridCol w:w="549"/>
        <w:gridCol w:w="1116"/>
        <w:gridCol w:w="703"/>
        <w:gridCol w:w="703"/>
        <w:gridCol w:w="703"/>
        <w:gridCol w:w="703"/>
        <w:gridCol w:w="444"/>
        <w:gridCol w:w="17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atLeast"/>
        </w:trPr>
        <w:tc>
          <w:tcPr>
            <w:tcW w:w="8754" w:type="dxa"/>
            <w:gridSpan w:val="11"/>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trPr>
        <w:tc>
          <w:tcPr>
            <w:tcW w:w="8754" w:type="dxa"/>
            <w:gridSpan w:val="11"/>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2021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754" w:type="dxa"/>
            <w:gridSpan w:val="11"/>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填表人及联系方式：任潇涵 18639886200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34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检测成本支出（办公类）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主管部门及代码</w:t>
            </w:r>
          </w:p>
        </w:tc>
        <w:tc>
          <w:tcPr>
            <w:tcW w:w="30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三门峡市市场监管局146000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5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三门峡市有色金属质量科学研究所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7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2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37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目标1：完成三门峡市贵金属首饰产品质量监督抽查30批次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目标2：完成三门峡市金锭、银锭、铅锭、阴极铜产品质量监督抽查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目标3：完成河南省金属锭产品质量监督抽查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目标4：完成非税收入100万，并上交国库。</w:t>
            </w:r>
          </w:p>
        </w:tc>
        <w:tc>
          <w:tcPr>
            <w:tcW w:w="4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目标1：完成三门峡市贵金属首饰产品质量监督抽查30批次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目标2：完成三门峡市金锭、银锭、铅锭、阴极铜产品质量监督抽查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目标3：完成河南省金属锭产品质量监督抽查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目标4：完成非税收入100万，并上交国库。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市生产领域贵金属首饰监督抽查</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市生产领域金锭监督抽查</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市生产领域银锭监督抽查</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市生产领域铅锭监督抽查</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市生产领域阴极铜监督抽查</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河南省金属锭（金锭、银锭、铅锭）监督抽查</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河南省阴极铜监督抽查</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10批次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实验室正常运行</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保证正常运行</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保证正常运行</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市监督抽查工作完成率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省监督抽查工作完成率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完成市监督抽查任务1批</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6月25日前</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6月25日前</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完成省监督抽查任务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9月15日前</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9月15日前</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完成100万非税收入</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12月31日前</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12月31日前</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检验检测成本支出</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完成非税收入并上缴国库</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对地区金属锭产品质量提供技术监督</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对地区贵金属首饰生产提供技术监督</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对地区阴极铜产品质量技工技术监督</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该指标不适用</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保证地区贵金属首饰生产产品质量合格率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保证地区贵金属锭生产产品合格率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保证地区阴极铜生产产品合格率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委托检验客户满意度</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抽检客户满意度</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518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97.0 </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754" w:type="dxa"/>
            <w:gridSpan w:val="11"/>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注：1.绩效自评采取打分评价的形式，</w:t>
            </w:r>
            <w:r>
              <w:rPr>
                <w:rStyle w:val="11"/>
                <w:lang w:val="en-US" w:eastAsia="zh-CN" w:bidi="ar"/>
              </w:rPr>
              <w:t>原则上一级指标分值统一设置为：产出指标50分、效益指标30分、服务对象满意度10分、预算资金执行率10分。2.偏差原因分析及改进措施：说明偏离目标、不能完成目标的原因及改进措施。 3.定性指标根据指标完成情况分为达成预期指标、部分达成预期指标并具有一定效果、未达成预期指标且效果较差三档，分别按照该指标对应分值区间100％-80％(含)、80％-60％(含)、60％-0％合理确定分值。定量指标完成指标值的，记该指标所赋全部分值；未完成的，按照完成值与指标值的比例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754"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754"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bl>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tbl>
      <w:tblPr>
        <w:tblStyle w:val="6"/>
        <w:tblW w:w="87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750"/>
        <w:gridCol w:w="750"/>
        <w:gridCol w:w="430"/>
        <w:gridCol w:w="1116"/>
        <w:gridCol w:w="750"/>
        <w:gridCol w:w="750"/>
        <w:gridCol w:w="750"/>
        <w:gridCol w:w="750"/>
        <w:gridCol w:w="704"/>
        <w:gridCol w:w="12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8739" w:type="dxa"/>
            <w:gridSpan w:val="11"/>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8739" w:type="dxa"/>
            <w:gridSpan w:val="11"/>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2021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0" w:hRule="atLeast"/>
        </w:trPr>
        <w:tc>
          <w:tcPr>
            <w:tcW w:w="8739" w:type="dxa"/>
            <w:gridSpan w:val="11"/>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填表人及联系方式：任潇涵 18639886200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2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检测人员成本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主管部门及代码</w:t>
            </w:r>
          </w:p>
        </w:tc>
        <w:tc>
          <w:tcPr>
            <w:tcW w:w="30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三门峡市市场监管局146000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4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三门峡市有色金属质量科学研究所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15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7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1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8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37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目标1：完成三门峡市贵金属首饰产品质量监督抽查30批次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目标2：完成三门峡市金锭、银锭、铅锭、阴极铜产品质量监督抽查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目标3：完成河南省金属锭产品质量监督抽查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目标4：完成非税收入100万，并上交国库。</w:t>
            </w:r>
          </w:p>
        </w:tc>
        <w:tc>
          <w:tcPr>
            <w:tcW w:w="41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目标1：完成三门峡市贵金属首饰产品质量监督抽查30批次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目标2：完成三门峡市金锭、银锭、铅锭、阴极铜产品质量监督抽查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目标3：完成河南省金属锭产品质量监督抽查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目标4：完成非税收入100万，并上交国库。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完成市生产领域贵金属首饰监督抽查所需劳务人员费用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市生产领域金锭监督抽查所需劳务人员费用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市生产领域银锭监督抽查所需劳务人员费用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市生产领域铅锭监督抽查所需劳务人员费用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市生产领域阴极铜监督抽查所需劳务人员费用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河南省金属锭（金锭、银锭、铅锭）监督抽查所需劳务人员费用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完成其他企业及个人送检样品所需劳务人员费用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0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3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河南省阴极铜监督抽查所需劳务人员费用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10批次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实验室正常运行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保证正常运行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保证正常运行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市监督抽查工作完成率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完成其他企业及个人送检样品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省监督抽查工作完成率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完成市监督抽查任务1批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6月25日前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6月25日前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完成省监督抽查任务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9月15日前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9月15日前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完成90万非税收入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12月31日前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12月31日前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完成非税收入并上缴国库</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对地区金属锭产品质量提供技术监督</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对地区贵金属首饰生产提供技术监督</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对地区阴极铜产品质量技工技术监督</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该指标不适用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保证地区贵金属首饰生产产品质量合格率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保证地区贵金属锭生产产品合格率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保证地区阴极铜生产产品合格率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委托检验客户满意度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自收自支人员工资社保发放及时率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劳务人员工资社保发放率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抽检客户满意度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529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739" w:type="dxa"/>
            <w:gridSpan w:val="11"/>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绩效自评采取打分评价的形式，原则上一级指标分值统一设置为：产出指标50分、效益指标30分、服务对象满意度10分、预算资金执行率10分。2.偏差原因分析及改进措施：说明偏离目标、不能完成目标的原因及改进措施。 3.定性指标根据指标完成情况分为达成预期指标、部分达成预期指标并具有一定效果、未达成预期指标且效果较差三档，分别按照该指标对应分值区间100％-80％(含)、80％-60％(含)、60％-0％合理确定分值。定量指标完成指标值的，记该指标所赋全部分值；未完成的，按照完成值与指标值的比例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739"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739"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bl>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tbl>
      <w:tblPr>
        <w:tblStyle w:val="6"/>
        <w:tblW w:w="88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76"/>
        <w:gridCol w:w="872"/>
        <w:gridCol w:w="328"/>
        <w:gridCol w:w="1116"/>
        <w:gridCol w:w="885"/>
        <w:gridCol w:w="885"/>
        <w:gridCol w:w="885"/>
        <w:gridCol w:w="885"/>
        <w:gridCol w:w="633"/>
        <w:gridCol w:w="8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0" w:hRule="atLeast"/>
        </w:trPr>
        <w:tc>
          <w:tcPr>
            <w:tcW w:w="8850" w:type="dxa"/>
            <w:gridSpan w:val="10"/>
            <w:tcBorders>
              <w:top w:val="nil"/>
              <w:left w:val="nil"/>
              <w:bottom w:val="nil"/>
              <w:right w:val="nil"/>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9" w:hRule="atLeast"/>
        </w:trPr>
        <w:tc>
          <w:tcPr>
            <w:tcW w:w="8850" w:type="dxa"/>
            <w:gridSpan w:val="10"/>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2021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0" w:type="dxa"/>
            <w:gridSpan w:val="10"/>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填表人及联系方式：任潇涵 18639886200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3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检测设备维修维护费用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主管部门及代码</w:t>
            </w:r>
          </w:p>
        </w:tc>
        <w:tc>
          <w:tcPr>
            <w:tcW w:w="32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三门峡市市场监管局146000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2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三门峡市有色金属质量科学研究所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46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0" w:hRule="atLeast"/>
        </w:trPr>
        <w:tc>
          <w:tcPr>
            <w:tcW w:w="46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目标1：完成三门峡市贵金属首饰产品质量监督抽查30批次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目标2：完成三门峡市金锭、银锭、铅锭、阴极铜产品质量监督抽查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目标3：完成河南省金属锭产品质量监督抽查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目标4：完成非税收入100万，并上交国库。</w:t>
            </w:r>
          </w:p>
        </w:tc>
        <w:tc>
          <w:tcPr>
            <w:tcW w:w="4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目标1：完成三门峡市贵金属首饰产品质量监督抽查30批次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目标2：完成三门峡市金锭、银锭、铅锭、阴极铜产品质量监督抽查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目标3：完成河南省金属锭产品质量监督抽查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目标4：完成非税收入100万，并上交国库。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444"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每月所有检验仪器设备保养</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每年检验仪器校准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每年检验仪器检定</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采购日常检测耗材</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3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日常检验设备维修</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保证研究所实验室正常运行</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保证设备正常运行</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保证设备正常运行</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保证按照实验室管理制度检定仪器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保证按照实验室管理制度校准仪器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检定检验仪器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在每批仪器到期时间之前中心送检</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在每批仪器到期时间之前中心送检</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校准检验仪器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在每批仪器到期时间之前中心校准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在每批仪器到期时间之前中心校准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检验仪器维保</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每月15日之前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每月15日之前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检测设备维护费用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完成非税收入并上缴国库</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对地区金属锭产品质量提供技术监督</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对地区贵金属首饰生产提供技术监督</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对地区阴极铜产品质量技工技术监督</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该指标不适用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延长我单位检验设备的使用年限</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保证我单位检验设备都在检定有效期内</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保证我单位检验设备都在校准期内</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委托检验客户满意度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抽检客户满意度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556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99.0 </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0" w:type="dxa"/>
            <w:gridSpan w:val="1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绩效自评采取打分评价的形式，原则上一级指标分值统一设置为：产出指标50分、效益指标30分、服务对象满意度10分、预算资金执行率10分。2.偏差原因分析及改进措施：说明偏离目标、不能完成目标的原因及改进措施。 3.定性指标根据指标完成情况分为达成预期指标、部分达成预期指标并具有一定效果、未达成预期指标且效果较差三档，分别按照该指标对应分值区间100％-80％(含)、80％-60％(含)、60％-0％合理确定分值。定量指标完成指标值的，记该指标所赋全部分值；未完成的，按照完成值与指标值的比例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0"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0"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bl>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tbl>
      <w:tblPr>
        <w:tblStyle w:val="6"/>
        <w:tblW w:w="97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5"/>
        <w:gridCol w:w="885"/>
        <w:gridCol w:w="885"/>
        <w:gridCol w:w="843"/>
        <w:gridCol w:w="1116"/>
        <w:gridCol w:w="885"/>
        <w:gridCol w:w="885"/>
        <w:gridCol w:w="885"/>
        <w:gridCol w:w="885"/>
        <w:gridCol w:w="696"/>
        <w:gridCol w:w="8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0" w:hRule="atLeast"/>
        </w:trPr>
        <w:tc>
          <w:tcPr>
            <w:tcW w:w="9735" w:type="dxa"/>
            <w:gridSpan w:val="11"/>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9735" w:type="dxa"/>
            <w:gridSpan w:val="11"/>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2021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9735" w:type="dxa"/>
            <w:gridSpan w:val="11"/>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填表人及联系方式：任潇涵 18639886200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96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研究所建设及运行费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主管部门及代码</w:t>
            </w:r>
          </w:p>
        </w:tc>
        <w:tc>
          <w:tcPr>
            <w:tcW w:w="37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三门峡市市场监管局146000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3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三门峡市有色金属质量科学研究所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4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2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4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目标1：完成三门峡市贵金属首饰产品质量监督抽查30批次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目标2：完成三门峡市金锭、银锭、铅锭、阴极铜产品质量监督抽查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目标3：完成河南省金属锭产品质量监督抽查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目标4：完成非税收入100万，并上交国库。</w:t>
            </w:r>
          </w:p>
        </w:tc>
        <w:tc>
          <w:tcPr>
            <w:tcW w:w="42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目标1：完成三门峡市贵金属首饰产品质量监督抽查30批次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目标2：完成三门峡市金锭、银锭、铅锭、阴极铜产品质量监督抽查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目标3：完成河南省金属锭产品质量监督抽查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目标4：完成非税收入100万，并上交国库。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平摊办公大楼物业费</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平摊办公大楼水电费</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采购原子吸收一台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采购磨样机一台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研究所正常运行</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保证正常运行</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保证正常运行</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市监督抽查工作完成率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保证实验室样品正常检测</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样品在规定时间内完成</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样品在规定时间内完成</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省监督抽查工作完成率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完成市监督抽查任务1批</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6月25日前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6月25日前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完成省监督抽查任务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9月15日前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9月15日前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平摊大楼物业费</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每年支付3个月物业费</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按合同规定月份支付</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研究所检测运行其他费用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完成非税收入并上缴国库</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对地区金属锭产品质量提供技术监督</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对地区贵金属首饰生产提供技术监督</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对地区阴极铜产品质量技工技术监督</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该指标不适用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保证地办公大楼正常运行</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正常运行</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正常</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保证实验室样品正常检测</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保证水电正常使用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委托检验客户满意度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抽检客户满意度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高于90%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63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97.0 </w:t>
            </w:r>
          </w:p>
        </w:tc>
        <w:tc>
          <w:tcPr>
            <w:tcW w:w="1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9735" w:type="dxa"/>
            <w:gridSpan w:val="11"/>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绩效自评采取打分评价的形式，原则上一级指标分值统一设置为：产出指标50分、效益指标30分、服务对象满意度10分、预算资金执行率10分。2.偏差原因分析及改进措施：说明偏离目标、不能完成目标的原因及改进措施。 3.定性指标根据指标完成情况分为达成预期指标、部分达成预期指标并具有一定效果、未达成预期指标且效果较差三档，分别按照该指标对应分值区间100％-80％(含)、80％-60％(含)、60％-0％合理确定分值。定量指标完成指标值的，记该指标所赋全部分值；未完成的，按照完成值与指标值的比例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9735"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9735"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bl>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outlineLvl w:val="0"/>
        <w:rPr>
          <w:rFonts w:hint="eastAsia" w:ascii="黑体" w:hAnsi="黑体" w:eastAsia="黑体" w:cs="黑体"/>
          <w:sz w:val="48"/>
          <w:szCs w:val="48"/>
        </w:rPr>
      </w:pPr>
      <w:r>
        <w:rPr>
          <w:rFonts w:hint="eastAsia" w:ascii="黑体" w:hAnsi="黑体" w:eastAsia="黑体" w:cs="黑体"/>
          <w:sz w:val="48"/>
          <w:szCs w:val="48"/>
        </w:rPr>
        <w:t>第四部分  名词解释</w:t>
      </w:r>
    </w:p>
    <w:p>
      <w:pPr>
        <w:jc w:val="center"/>
        <w:rPr>
          <w:rFonts w:hint="eastAsia" w:ascii="黑体" w:hAnsi="黑体" w:eastAsia="黑体" w:cs="黑体"/>
          <w:sz w:val="48"/>
          <w:szCs w:val="48"/>
        </w:rPr>
      </w:pPr>
    </w:p>
    <w:p>
      <w:pPr>
        <w:jc w:val="center"/>
        <w:outlineLvl w:val="0"/>
        <w:rPr>
          <w:rFonts w:hint="eastAsia" w:ascii="黑体" w:hAnsi="黑体" w:eastAsia="黑体" w:cs="黑体"/>
          <w:sz w:val="48"/>
          <w:szCs w:val="48"/>
        </w:rPr>
        <w:sectPr>
          <w:pgSz w:w="11906" w:h="16838"/>
          <w:pgMar w:top="1440" w:right="1531" w:bottom="1440" w:left="1587" w:header="850" w:footer="992" w:gutter="0"/>
          <w:pgNumType w:fmt="numberInDash"/>
          <w:cols w:space="720" w:num="1"/>
          <w:docGrid w:type="lines" w:linePitch="317" w:charSpace="0"/>
        </w:sectPr>
      </w:pP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一、财政拨款收入：单位从同级政府财政部门取得的财政预算资金。</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二、事业收入：事业单位开展专业业务活动及其辅助活动取得的收入。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三、上级补助收入：事业单位从主管部门和上级单位取得的非财政补助收入。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四、附属单位上缴收入：事业单位取得附属独立核算单位根据有关规定上缴的收入。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五、经营收入：事业单位在专业业务活动及其辅助活动之外开展非独立核算经营活动取得的收入。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六、其他收入：单位取得的除“财政拨款收入”、“事业收入”、“上级补助收入”、“附属单位上缴收入”、“经营收入”以外的各项收入。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用事业基金弥补收支差额：事业单位在当年收入不足以安排当年支出的情况下，使用以前年度积累的事业基金（事业单位当年收支相抵后按国家规定提取、用于弥补以后年度收支差额的基金）弥补当年收支缺口的资金。</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八、基本支出：为保障机构正常运转、完成日常工作任务而发生的人员支出和公用支出。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九、项目支出：基本支出之外为完成特定行政任务和事业发展目标所发生的支出。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公”经费：纳入同级财政预决算管理“三公”经费，指部门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十二、工资福利支出：单位支付给在职职工和编制外长期聘用人员的各类劳动报酬，以及为上述人员缴纳的各项社会保险费等。</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十三、商品和服务支出：单位购买商品和服务的支出。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十四、对个人和家庭的补助支出：单位用于对个人和家庭的补助支出。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十五、年末结转：本年度或以前年度预算安排，已执行但尚未完成或因客观条件发生变化无法按原计划实施，需延迟到以后年度按有关规定继续使用的资金。</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十六、年末结余：本年度或以前年度预算安排，已执行完毕或因客观条件发生变化无法按原预算安排实施，不需要再使用或无法按原预算安排继续使用的资金</w:t>
      </w:r>
    </w:p>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- 21 -</w:t>
                          </w:r>
                          <w:r>
                            <w:rPr>
                              <w:rFonts w:hint="eastAsia"/>
                              <w:sz w:val="18"/>
                            </w:rPr>
                            <w:fldChar w:fldCharType="end"/>
                          </w:r>
                        </w:p>
                      </w:txbxContent>
                    </wps:txbx>
                    <wps:bodyPr wrap="none" lIns="0" tIns="0" rIns="0" bIns="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CXGLqugEAAFcDAAAOAAAAAAAAAAEAIAAAAB4BAABkcnMvZTJvRG9jLnhtbFBLBQYAAAAABgAG&#10;AFkBAABK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- 21 -</w:t>
                    </w:r>
                    <w:r>
                      <w:rPr>
                        <w:rFonts w:hint="eastAsia"/>
                        <w:sz w:val="1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rPr>
                              <w:rFonts w:hint="eastAsia"/>
                            </w:rPr>
                          </w:pP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h3UF8ugEAAFcDAAAOAAAAAAAAAAEAIAAAAB4BAABkcnMvZTJvRG9jLnhtbFBLBQYAAAAABgAG&#10;AFkBAABKBQAAAAA=&#10;">
              <v:fill on="f" focussize="0,0"/>
              <v:stroke on="f"/>
              <v:imagedata o:title=""/>
              <o:lock v:ext="edit" aspectratio="f"/>
              <v:textbox inset="0mm,0mm,0mm,0mm" style="mso-fit-shape-to-text:t;">
                <w:txbxContent>
                  <w:p>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- 22 -</w:t>
                          </w:r>
                          <w:r>
                            <w:rPr>
                              <w:rFonts w:hint="eastAsia"/>
                              <w:sz w:val="18"/>
                            </w:rPr>
                            <w:fldChar w:fldCharType="end"/>
                          </w:r>
                        </w:p>
                      </w:txbxContent>
                    </wps:txbx>
                    <wps:bodyPr wrap="none" lIns="0" tIns="0" rIns="0" bIns="0" upright="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ZrQwJugEAAFcDAAAOAAAAAAAAAAEAIAAAAB4BAABkcnMvZTJvRG9jLnhtbFBLBQYAAAAABgAG&#10;AFkBAABK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- 22 -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1BE17"/>
    <w:multiLevelType w:val="singleLevel"/>
    <w:tmpl w:val="5971BE17"/>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0YWRiNzc0YWU1OGVjYmZiZDIwZjAxMGZhNzBlY2MifQ=="/>
  </w:docVars>
  <w:rsids>
    <w:rsidRoot w:val="00000000"/>
    <w:rsid w:val="068A502B"/>
    <w:rsid w:val="09D83026"/>
    <w:rsid w:val="0CBA7318"/>
    <w:rsid w:val="0DBB3946"/>
    <w:rsid w:val="14CD125C"/>
    <w:rsid w:val="163F1B6B"/>
    <w:rsid w:val="191F7525"/>
    <w:rsid w:val="21DC286A"/>
    <w:rsid w:val="240E06F2"/>
    <w:rsid w:val="2477094A"/>
    <w:rsid w:val="26465FD9"/>
    <w:rsid w:val="2750185C"/>
    <w:rsid w:val="2C250F60"/>
    <w:rsid w:val="2D5347F6"/>
    <w:rsid w:val="2F451D68"/>
    <w:rsid w:val="32152054"/>
    <w:rsid w:val="34BB2AED"/>
    <w:rsid w:val="37E06ECA"/>
    <w:rsid w:val="3E4C25CA"/>
    <w:rsid w:val="403D52DB"/>
    <w:rsid w:val="41354204"/>
    <w:rsid w:val="442F13FE"/>
    <w:rsid w:val="4701142B"/>
    <w:rsid w:val="47077CF9"/>
    <w:rsid w:val="497A2108"/>
    <w:rsid w:val="4B98411F"/>
    <w:rsid w:val="4EFC09E4"/>
    <w:rsid w:val="55A51501"/>
    <w:rsid w:val="587F2E51"/>
    <w:rsid w:val="5E006AC4"/>
    <w:rsid w:val="60474D6A"/>
    <w:rsid w:val="605A47B9"/>
    <w:rsid w:val="64047D3A"/>
    <w:rsid w:val="67CB48A6"/>
    <w:rsid w:val="6F000451"/>
    <w:rsid w:val="6F570BBD"/>
    <w:rsid w:val="72640322"/>
    <w:rsid w:val="74A0585D"/>
    <w:rsid w:val="7722255A"/>
    <w:rsid w:val="78C076F0"/>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character" w:styleId="5">
    <w:name w:val="annotation reference"/>
    <w:basedOn w:val="4"/>
    <w:qFormat/>
    <w:uiPriority w:val="0"/>
    <w:rPr>
      <w:sz w:val="21"/>
      <w:szCs w:val="21"/>
    </w:rPr>
  </w:style>
  <w:style w:type="character" w:customStyle="1" w:styleId="7">
    <w:name w:val="font11"/>
    <w:basedOn w:val="4"/>
    <w:qFormat/>
    <w:uiPriority w:val="0"/>
    <w:rPr>
      <w:rFonts w:hint="eastAsia" w:ascii="宋体" w:hAnsi="宋体" w:eastAsia="宋体" w:cs="宋体"/>
      <w:color w:val="000000"/>
      <w:sz w:val="20"/>
      <w:szCs w:val="20"/>
      <w:u w:val="none"/>
    </w:rPr>
  </w:style>
  <w:style w:type="character" w:customStyle="1" w:styleId="8">
    <w:name w:val="font01"/>
    <w:basedOn w:val="4"/>
    <w:qFormat/>
    <w:uiPriority w:val="0"/>
    <w:rPr>
      <w:rFonts w:hint="eastAsia" w:ascii="宋体" w:hAnsi="宋体" w:eastAsia="宋体" w:cs="宋体"/>
      <w:color w:val="000000"/>
      <w:sz w:val="22"/>
      <w:szCs w:val="22"/>
      <w:u w:val="none"/>
    </w:rPr>
  </w:style>
  <w:style w:type="character" w:customStyle="1" w:styleId="9">
    <w:name w:val="font51"/>
    <w:basedOn w:val="4"/>
    <w:qFormat/>
    <w:uiPriority w:val="0"/>
    <w:rPr>
      <w:rFonts w:hint="eastAsia" w:ascii="宋体" w:hAnsi="宋体" w:eastAsia="宋体" w:cs="宋体"/>
      <w:color w:val="000000"/>
      <w:sz w:val="24"/>
      <w:szCs w:val="24"/>
      <w:u w:val="none"/>
    </w:rPr>
  </w:style>
  <w:style w:type="character" w:customStyle="1" w:styleId="10">
    <w:name w:val="font41"/>
    <w:basedOn w:val="4"/>
    <w:qFormat/>
    <w:uiPriority w:val="0"/>
    <w:rPr>
      <w:rFonts w:hint="eastAsia" w:ascii="宋体" w:hAnsi="宋体" w:eastAsia="宋体" w:cs="宋体"/>
      <w:color w:val="000000"/>
      <w:sz w:val="24"/>
      <w:szCs w:val="24"/>
      <w:u w:val="none"/>
    </w:rPr>
  </w:style>
  <w:style w:type="character" w:customStyle="1" w:styleId="11">
    <w:name w:val="font61"/>
    <w:basedOn w:val="4"/>
    <w:qFormat/>
    <w:uiPriority w:val="0"/>
    <w:rPr>
      <w:rFonts w:hint="eastAsia" w:ascii="宋体" w:hAnsi="宋体" w:eastAsia="宋体" w:cs="宋体"/>
      <w:color w:val="000000"/>
      <w:sz w:val="18"/>
      <w:szCs w:val="18"/>
      <w:u w:val="none"/>
    </w:rPr>
  </w:style>
  <w:style w:type="character" w:customStyle="1" w:styleId="12">
    <w:name w:val="font91"/>
    <w:basedOn w:val="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6447</Words>
  <Characters>7095</Characters>
  <Lines>0</Lines>
  <Paragraphs>0</Paragraphs>
  <ScaleCrop>false</ScaleCrop>
  <LinksUpToDate>false</LinksUpToDate>
  <CharactersWithSpaces>7468</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2023-08-04T01:57:36Z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y fmtid="{D5CDD505-2E9C-101B-9397-08002B2CF9AE}" pid="3" name="ICV">
    <vt:lpwstr>95F2635602A34D8E9E6C8BB91639BF38_13</vt:lpwstr>
  </property>
</Properties>
</file>