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rPr>
          <w:rFonts w:hint="eastAsia" w:ascii="黑体" w:hAnsi="黑体" w:eastAsia="黑体" w:cs="黑体"/>
          <w:sz w:val="52"/>
          <w:szCs w:val="52"/>
        </w:rPr>
      </w:pPr>
      <w:r>
        <w:rPr>
          <w:rFonts w:hint="eastAsia" w:ascii="黑体" w:hAnsi="黑体" w:eastAsia="黑体" w:cs="黑体"/>
          <w:sz w:val="52"/>
          <w:szCs w:val="52"/>
          <w:lang w:eastAsia="zh-CN"/>
        </w:rPr>
        <w:t>2021年</w:t>
      </w:r>
      <w:r>
        <w:rPr>
          <w:rFonts w:hint="eastAsia" w:ascii="黑体" w:hAnsi="黑体" w:eastAsia="黑体" w:cs="黑体"/>
          <w:sz w:val="52"/>
          <w:szCs w:val="52"/>
        </w:rPr>
        <w:t>度</w:t>
      </w:r>
    </w:p>
    <w:p>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三门峡市创新发展中心</w:t>
      </w:r>
    </w:p>
    <w:p>
      <w:pPr>
        <w:jc w:val="center"/>
        <w:rPr>
          <w:rFonts w:hint="eastAsia" w:ascii="黑体" w:hAnsi="黑体" w:eastAsia="黑体" w:cs="黑体"/>
          <w:sz w:val="52"/>
          <w:szCs w:val="52"/>
        </w:rPr>
      </w:pPr>
      <w:r>
        <w:rPr>
          <w:rFonts w:hint="eastAsia" w:ascii="黑体" w:hAnsi="黑体" w:eastAsia="黑体" w:cs="黑体"/>
          <w:sz w:val="52"/>
          <w:szCs w:val="52"/>
        </w:rPr>
        <w:t>部门决算</w:t>
      </w: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32"/>
          <w:szCs w:val="32"/>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rPr>
        <w:t>二〇</w:t>
      </w:r>
      <w:r>
        <w:rPr>
          <w:rFonts w:hint="eastAsia" w:ascii="黑体" w:hAnsi="黑体" w:eastAsia="黑体" w:cs="黑体"/>
          <w:sz w:val="32"/>
          <w:szCs w:val="32"/>
          <w:highlight w:val="none"/>
        </w:rPr>
        <w:t>二</w:t>
      </w:r>
      <w:r>
        <w:rPr>
          <w:rFonts w:hint="eastAsia" w:ascii="黑体" w:hAnsi="黑体" w:eastAsia="黑体" w:cs="黑体"/>
          <w:sz w:val="32"/>
          <w:szCs w:val="32"/>
          <w:highlight w:val="none"/>
          <w:lang w:eastAsia="zh-CN"/>
        </w:rPr>
        <w:t>二</w:t>
      </w:r>
      <w:r>
        <w:rPr>
          <w:rFonts w:hint="eastAsia" w:ascii="黑体" w:hAnsi="黑体" w:eastAsia="黑体" w:cs="黑体"/>
          <w:sz w:val="32"/>
          <w:szCs w:val="32"/>
          <w:highlight w:val="none"/>
        </w:rPr>
        <w:t>年九月</w:t>
      </w:r>
    </w:p>
    <w:p>
      <w:pPr>
        <w:jc w:val="center"/>
        <w:rPr>
          <w:rFonts w:ascii="黑体" w:hAnsi="黑体" w:eastAsia="黑体" w:cs="黑体"/>
          <w:sz w:val="36"/>
          <w:szCs w:val="36"/>
        </w:rPr>
      </w:pPr>
      <w:r>
        <w:rPr>
          <w:rFonts w:hint="eastAsia" w:ascii="黑体" w:hAnsi="黑体" w:eastAsia="黑体" w:cs="黑体"/>
          <w:sz w:val="36"/>
          <w:szCs w:val="36"/>
        </w:rPr>
        <w:t>目　　录</w:t>
      </w:r>
    </w:p>
    <w:p>
      <w:pPr>
        <w:jc w:val="left"/>
        <w:rPr>
          <w:rFonts w:ascii="黑体" w:hAnsi="黑体" w:eastAsia="黑体" w:cs="黑体"/>
          <w:sz w:val="32"/>
          <w:szCs w:val="32"/>
        </w:rPr>
      </w:pPr>
      <w:r>
        <w:rPr>
          <w:rFonts w:hint="eastAsia" w:ascii="黑体" w:hAnsi="黑体" w:eastAsia="黑体" w:cs="黑体"/>
          <w:sz w:val="32"/>
          <w:szCs w:val="32"/>
        </w:rPr>
        <w:t>第一部分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三门峡市创新发展中心</w:t>
      </w:r>
      <w:r>
        <w:rPr>
          <w:rFonts w:hint="eastAsia" w:ascii="黑体" w:hAnsi="黑体" w:eastAsia="黑体" w:cs="黑体"/>
          <w:sz w:val="32"/>
          <w:szCs w:val="32"/>
        </w:rPr>
        <w:t>概况</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部门职责</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机构设置</w:t>
      </w:r>
    </w:p>
    <w:p>
      <w:pPr>
        <w:jc w:val="left"/>
        <w:rPr>
          <w:rFonts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2021年</w:t>
      </w:r>
      <w:r>
        <w:rPr>
          <w:rFonts w:hint="eastAsia" w:ascii="黑体" w:hAnsi="黑体" w:eastAsia="黑体" w:cs="黑体"/>
          <w:sz w:val="32"/>
          <w:szCs w:val="32"/>
        </w:rPr>
        <w:t>度部门决算表</w:t>
      </w:r>
    </w:p>
    <w:p>
      <w:pPr>
        <w:ind w:firstLine="640" w:firstLineChars="200"/>
        <w:jc w:val="left"/>
        <w:rPr>
          <w:rFonts w:ascii="宋体" w:hAnsi="宋体" w:cs="宋体"/>
          <w:sz w:val="32"/>
          <w:szCs w:val="32"/>
        </w:rPr>
      </w:pPr>
      <w:r>
        <w:rPr>
          <w:rFonts w:hint="eastAsia" w:ascii="宋体" w:hAnsi="宋体" w:cs="宋体"/>
          <w:sz w:val="32"/>
          <w:szCs w:val="32"/>
        </w:rPr>
        <w:t>一、收入支出决算总表</w:t>
      </w:r>
    </w:p>
    <w:p>
      <w:pPr>
        <w:ind w:firstLine="640" w:firstLineChars="200"/>
        <w:jc w:val="left"/>
        <w:rPr>
          <w:rFonts w:ascii="宋体" w:hAnsi="宋体" w:cs="宋体"/>
          <w:sz w:val="32"/>
          <w:szCs w:val="32"/>
        </w:rPr>
      </w:pPr>
      <w:r>
        <w:rPr>
          <w:rFonts w:hint="eastAsia" w:ascii="宋体" w:hAnsi="宋体" w:cs="宋体"/>
          <w:sz w:val="32"/>
          <w:szCs w:val="32"/>
        </w:rPr>
        <w:t>二、收入决算表</w:t>
      </w:r>
    </w:p>
    <w:p>
      <w:pPr>
        <w:ind w:firstLine="640" w:firstLineChars="200"/>
        <w:jc w:val="left"/>
        <w:rPr>
          <w:rFonts w:hint="eastAsia" w:ascii="宋体" w:hAnsi="宋体" w:cs="宋体"/>
          <w:sz w:val="32"/>
          <w:szCs w:val="32"/>
        </w:rPr>
      </w:pPr>
      <w:r>
        <w:rPr>
          <w:rFonts w:hint="eastAsia" w:ascii="宋体" w:hAnsi="宋体" w:cs="宋体"/>
          <w:sz w:val="32"/>
          <w:szCs w:val="32"/>
        </w:rPr>
        <w:t>三、支出决算表</w:t>
      </w:r>
    </w:p>
    <w:p>
      <w:pPr>
        <w:ind w:firstLine="640" w:firstLineChars="200"/>
        <w:jc w:val="left"/>
        <w:rPr>
          <w:rFonts w:hint="eastAsia" w:ascii="宋体" w:hAnsi="宋体" w:cs="宋体"/>
          <w:sz w:val="32"/>
          <w:szCs w:val="32"/>
        </w:rPr>
      </w:pPr>
      <w:r>
        <w:rPr>
          <w:rFonts w:hint="eastAsia" w:ascii="宋体" w:hAnsi="宋体" w:cs="宋体"/>
          <w:sz w:val="32"/>
          <w:szCs w:val="32"/>
        </w:rPr>
        <w:t>四、财政拨款收入支出决算总表</w:t>
      </w:r>
    </w:p>
    <w:p>
      <w:pPr>
        <w:ind w:firstLine="640" w:firstLineChars="200"/>
        <w:jc w:val="left"/>
        <w:rPr>
          <w:rFonts w:hint="eastAsia" w:ascii="宋体" w:hAnsi="宋体" w:cs="宋体"/>
          <w:sz w:val="32"/>
          <w:szCs w:val="32"/>
        </w:rPr>
      </w:pPr>
      <w:r>
        <w:rPr>
          <w:rFonts w:hint="eastAsia" w:ascii="宋体" w:hAnsi="宋体" w:cs="宋体"/>
          <w:sz w:val="32"/>
          <w:szCs w:val="32"/>
        </w:rPr>
        <w:t>五、一般公共预算财政拨款支出决算表</w:t>
      </w:r>
    </w:p>
    <w:p>
      <w:pPr>
        <w:ind w:firstLine="640" w:firstLineChars="200"/>
        <w:jc w:val="left"/>
        <w:rPr>
          <w:rFonts w:hint="eastAsia" w:ascii="宋体" w:hAnsi="宋体" w:cs="宋体"/>
          <w:sz w:val="32"/>
          <w:szCs w:val="32"/>
        </w:rPr>
      </w:pPr>
      <w:r>
        <w:rPr>
          <w:rFonts w:hint="eastAsia" w:ascii="宋体" w:hAnsi="宋体" w:cs="宋体"/>
          <w:sz w:val="32"/>
          <w:szCs w:val="32"/>
        </w:rPr>
        <w:t>六、一般公共预算财政拨款基本支出决算表</w:t>
      </w:r>
    </w:p>
    <w:p>
      <w:pPr>
        <w:ind w:firstLine="640" w:firstLineChars="200"/>
        <w:jc w:val="left"/>
        <w:rPr>
          <w:rFonts w:hint="eastAsia" w:ascii="宋体" w:hAnsi="宋体" w:cs="宋体"/>
          <w:sz w:val="32"/>
          <w:szCs w:val="32"/>
        </w:rPr>
      </w:pPr>
      <w:r>
        <w:rPr>
          <w:rFonts w:hint="eastAsia" w:ascii="宋体" w:hAnsi="宋体" w:cs="宋体"/>
          <w:sz w:val="32"/>
          <w:szCs w:val="32"/>
        </w:rPr>
        <w:t>七、一般公共预算财政拨款“三公”经费支出决算表</w:t>
      </w:r>
    </w:p>
    <w:p>
      <w:pPr>
        <w:ind w:firstLine="640" w:firstLineChars="200"/>
        <w:jc w:val="left"/>
        <w:rPr>
          <w:rFonts w:hint="eastAsia" w:ascii="宋体" w:hAnsi="宋体" w:cs="宋体"/>
          <w:sz w:val="32"/>
          <w:szCs w:val="32"/>
        </w:rPr>
      </w:pPr>
      <w:r>
        <w:rPr>
          <w:rFonts w:hint="eastAsia" w:ascii="宋体" w:hAnsi="宋体" w:cs="宋体"/>
          <w:sz w:val="32"/>
          <w:szCs w:val="32"/>
        </w:rPr>
        <w:t>八、政府性基金预算财政拨款收入支出决算表</w:t>
      </w:r>
    </w:p>
    <w:p>
      <w:pPr>
        <w:jc w:val="left"/>
        <w:rPr>
          <w:rFonts w:hint="eastAsia" w:ascii="黑体" w:hAnsi="黑体" w:eastAsia="黑体" w:cs="黑体"/>
          <w:sz w:val="32"/>
          <w:szCs w:val="32"/>
        </w:rPr>
      </w:pPr>
      <w:r>
        <w:rPr>
          <w:rFonts w:hint="eastAsia" w:ascii="黑体" w:hAnsi="黑体" w:eastAsia="黑体" w:cs="黑体"/>
          <w:sz w:val="32"/>
          <w:szCs w:val="32"/>
        </w:rPr>
        <w:t>第三部分　　</w:t>
      </w:r>
      <w:r>
        <w:rPr>
          <w:rFonts w:hint="eastAsia" w:ascii="黑体" w:hAnsi="黑体" w:eastAsia="黑体" w:cs="黑体"/>
          <w:sz w:val="32"/>
          <w:szCs w:val="32"/>
          <w:lang w:eastAsia="zh-CN"/>
        </w:rPr>
        <w:t>2021年</w:t>
      </w:r>
      <w:r>
        <w:rPr>
          <w:rFonts w:hint="eastAsia" w:ascii="黑体" w:hAnsi="黑体" w:eastAsia="黑体" w:cs="黑体"/>
          <w:sz w:val="32"/>
          <w:szCs w:val="32"/>
        </w:rPr>
        <w:t>度部门决算情况说明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一、收入支出决算总体情况说明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二、收入决算情况说明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三、支出决算情况说明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四、财政拨款收入支出决算总体情况说明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五、一般公共预算财政拨款支出决算情况说明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六、一般公共预算财政拨款基本支出决算情况说明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七、一般公共预算财政拨款“三公”经费支出决算情况说明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八、预算绩效情况说明</w:t>
      </w:r>
    </w:p>
    <w:p>
      <w:pPr>
        <w:ind w:firstLine="640" w:firstLineChars="200"/>
        <w:jc w:val="left"/>
        <w:rPr>
          <w:rFonts w:hint="eastAsia" w:ascii="宋体" w:hAnsi="宋体" w:cs="宋体"/>
          <w:sz w:val="32"/>
          <w:szCs w:val="32"/>
        </w:rPr>
      </w:pPr>
      <w:r>
        <w:rPr>
          <w:rFonts w:hint="eastAsia" w:ascii="宋体" w:hAnsi="宋体" w:cs="宋体"/>
          <w:sz w:val="32"/>
          <w:szCs w:val="32"/>
        </w:rPr>
        <w:t>九、政府性基金预算财政拨款支出决算情况说明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十、机关运行经费支出情况说明</w:t>
      </w:r>
    </w:p>
    <w:p>
      <w:pPr>
        <w:ind w:firstLine="640" w:firstLineChars="200"/>
        <w:jc w:val="left"/>
        <w:rPr>
          <w:rFonts w:hint="eastAsia" w:ascii="宋体" w:hAnsi="宋体" w:cs="宋体"/>
          <w:sz w:val="32"/>
          <w:szCs w:val="32"/>
        </w:rPr>
      </w:pPr>
      <w:r>
        <w:rPr>
          <w:rFonts w:hint="eastAsia" w:ascii="宋体" w:hAnsi="宋体" w:cs="宋体"/>
          <w:sz w:val="32"/>
          <w:szCs w:val="32"/>
        </w:rPr>
        <w:t>十一、政府采购支出情况说明</w:t>
      </w:r>
    </w:p>
    <w:p>
      <w:pPr>
        <w:ind w:firstLine="640" w:firstLineChars="200"/>
        <w:jc w:val="left"/>
        <w:rPr>
          <w:rFonts w:hint="eastAsia" w:ascii="宋体" w:hAnsi="宋体" w:cs="宋体"/>
          <w:sz w:val="32"/>
          <w:szCs w:val="32"/>
        </w:rPr>
      </w:pPr>
      <w:r>
        <w:rPr>
          <w:rFonts w:hint="eastAsia" w:ascii="宋体" w:hAnsi="宋体" w:cs="宋体"/>
          <w:sz w:val="32"/>
          <w:szCs w:val="32"/>
        </w:rPr>
        <w:t>十二、国有资产占用情况说明</w:t>
      </w:r>
    </w:p>
    <w:p>
      <w:pPr>
        <w:jc w:val="left"/>
        <w:rPr>
          <w:rFonts w:hint="eastAsia" w:ascii="黑体" w:hAnsi="黑体" w:eastAsia="黑体" w:cs="黑体"/>
          <w:sz w:val="32"/>
          <w:szCs w:val="32"/>
        </w:rPr>
      </w:pPr>
      <w:r>
        <w:rPr>
          <w:rFonts w:hint="eastAsia" w:ascii="黑体" w:hAnsi="黑体" w:eastAsia="黑体" w:cs="黑体"/>
          <w:sz w:val="32"/>
          <w:szCs w:val="32"/>
        </w:rPr>
        <w:t>第四部分　　名词解释</w:t>
      </w:r>
    </w:p>
    <w:p>
      <w:pPr>
        <w:ind w:firstLine="640" w:firstLineChars="200"/>
        <w:jc w:val="left"/>
        <w:rPr>
          <w:rFonts w:ascii="宋体" w:hAnsi="宋体" w:cs="宋体"/>
          <w:sz w:val="32"/>
          <w:szCs w:val="32"/>
        </w:rPr>
      </w:pPr>
    </w:p>
    <w:p>
      <w:pPr>
        <w:jc w:val="left"/>
        <w:rPr>
          <w:rFonts w:hint="eastAsia" w:ascii="黑体" w:hAnsi="黑体" w:eastAsia="黑体" w:cs="黑体"/>
          <w:sz w:val="32"/>
          <w:szCs w:val="32"/>
        </w:rPr>
        <w:sectPr>
          <w:footerReference r:id="rId3" w:type="default"/>
          <w:footerReference r:id="rId4" w:type="even"/>
          <w:pgSz w:w="11906" w:h="16838"/>
          <w:pgMar w:top="1440" w:right="1531" w:bottom="1440" w:left="1587" w:header="850" w:footer="992" w:gutter="0"/>
          <w:pgNumType w:fmt="numberInDash" w:start="1"/>
          <w:cols w:space="720" w:num="1"/>
          <w:docGrid w:type="lines" w:linePitch="317"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center"/>
        <w:outlineLvl w:val="0"/>
        <w:rPr>
          <w:rFonts w:hint="eastAsia" w:ascii="黑体" w:hAnsi="宋体" w:eastAsia="黑体" w:cs="宋体"/>
          <w:kern w:val="0"/>
          <w:sz w:val="28"/>
          <w:szCs w:val="28"/>
        </w:rPr>
      </w:pPr>
      <w:r>
        <w:rPr>
          <w:rFonts w:hint="eastAsia" w:ascii="黑体" w:hAnsi="黑体" w:eastAsia="黑体" w:cs="黑体"/>
          <w:sz w:val="48"/>
          <w:szCs w:val="48"/>
        </w:rPr>
        <w:t xml:space="preserve">第一部分  </w:t>
      </w:r>
      <w:r>
        <w:rPr>
          <w:rFonts w:hint="eastAsia" w:ascii="黑体" w:hAnsi="黑体" w:eastAsia="黑体" w:cs="黑体"/>
          <w:sz w:val="48"/>
          <w:szCs w:val="48"/>
          <w:lang w:eastAsia="zh-CN"/>
        </w:rPr>
        <w:t>三门峡市创新发展中心</w:t>
      </w:r>
      <w:r>
        <w:rPr>
          <w:rFonts w:hint="eastAsia" w:ascii="黑体" w:hAnsi="黑体" w:eastAsia="黑体" w:cs="黑体"/>
          <w:sz w:val="48"/>
          <w:szCs w:val="48"/>
        </w:rPr>
        <w:t>概况</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一、部门</w:t>
      </w:r>
      <w:r>
        <w:rPr>
          <w:rFonts w:hint="eastAsia" w:ascii="黑体" w:hAnsi="黑体" w:eastAsia="黑体" w:cs="黑体"/>
          <w:bCs/>
          <w:sz w:val="32"/>
          <w:szCs w:val="32"/>
        </w:rPr>
        <w:t>职责</w:t>
      </w:r>
    </w:p>
    <w:p>
      <w:pPr>
        <w:spacing w:line="60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三门峡市创新发展中心的主要职责是加强院地院企合作，促进科技成果转移转化，培育创新主体、配置创新资源等。</w:t>
      </w: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二、机构设置</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宋体" w:eastAsia="仿宋_GB2312" w:cs="宋体"/>
          <w:kern w:val="0"/>
          <w:sz w:val="32"/>
          <w:szCs w:val="32"/>
        </w:rPr>
        <w:t>三门峡市创新发展中心</w:t>
      </w:r>
      <w:r>
        <w:rPr>
          <w:rFonts w:hint="eastAsia" w:ascii="仿宋_GB2312" w:hAnsi="宋体" w:eastAsia="仿宋_GB2312" w:cs="宋体"/>
          <w:kern w:val="0"/>
          <w:sz w:val="32"/>
          <w:szCs w:val="32"/>
          <w:lang w:val="en-US" w:eastAsia="zh-CN"/>
        </w:rPr>
        <w:t>无内设机构。</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从决算单位构成看，三门峡市</w:t>
      </w:r>
      <w:r>
        <w:rPr>
          <w:rFonts w:hint="eastAsia" w:ascii="仿宋_GB2312" w:hAnsi="仿宋_GB2312" w:eastAsia="仿宋_GB2312" w:cs="仿宋_GB2312"/>
          <w:kern w:val="0"/>
          <w:sz w:val="32"/>
          <w:szCs w:val="32"/>
          <w:lang w:val="en-US" w:eastAsia="zh-CN"/>
        </w:rPr>
        <w:t>创新发展</w:t>
      </w:r>
      <w:r>
        <w:rPr>
          <w:rFonts w:hint="eastAsia" w:ascii="仿宋_GB2312" w:hAnsi="仿宋_GB2312" w:eastAsia="仿宋_GB2312" w:cs="仿宋_GB2312"/>
          <w:kern w:val="0"/>
          <w:sz w:val="32"/>
          <w:szCs w:val="32"/>
        </w:rPr>
        <w:t>中心部门决算包括：本级决算、所属单位决算。2021 年度，单位事业编制12 名，年末在职实有人员</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名。</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纳入本部门 2021 年度部门决算编制范围的单位共1个。</w:t>
      </w: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 xml:space="preserve">第二部分  </w:t>
      </w:r>
      <w:r>
        <w:rPr>
          <w:rFonts w:hint="eastAsia" w:ascii="黑体" w:hAnsi="黑体" w:eastAsia="黑体" w:cs="黑体"/>
          <w:sz w:val="48"/>
          <w:szCs w:val="48"/>
          <w:lang w:eastAsia="zh-CN"/>
        </w:rPr>
        <w:t>2021年</w:t>
      </w:r>
      <w:r>
        <w:rPr>
          <w:rFonts w:hint="eastAsia" w:ascii="黑体" w:hAnsi="黑体" w:eastAsia="黑体" w:cs="黑体"/>
          <w:sz w:val="48"/>
          <w:szCs w:val="48"/>
        </w:rPr>
        <w:t>度部门决算表</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tbl>
      <w:tblPr>
        <w:tblStyle w:val="4"/>
        <w:tblW w:w="13459" w:type="dxa"/>
        <w:tblInd w:w="0" w:type="dxa"/>
        <w:shd w:val="clear" w:color="auto" w:fill="auto"/>
        <w:tblLayout w:type="fixed"/>
        <w:tblCellMar>
          <w:top w:w="0" w:type="dxa"/>
          <w:left w:w="0" w:type="dxa"/>
          <w:bottom w:w="0" w:type="dxa"/>
          <w:right w:w="0" w:type="dxa"/>
        </w:tblCellMar>
      </w:tblPr>
      <w:tblGrid>
        <w:gridCol w:w="4662"/>
        <w:gridCol w:w="664"/>
        <w:gridCol w:w="2433"/>
        <w:gridCol w:w="2278"/>
        <w:gridCol w:w="272"/>
        <w:gridCol w:w="392"/>
        <w:gridCol w:w="283"/>
        <w:gridCol w:w="2460"/>
        <w:gridCol w:w="15"/>
      </w:tblGrid>
      <w:tr>
        <w:tblPrEx>
          <w:shd w:val="clear" w:color="auto" w:fill="auto"/>
          <w:tblCellMar>
            <w:top w:w="0" w:type="dxa"/>
            <w:left w:w="0" w:type="dxa"/>
            <w:bottom w:w="0" w:type="dxa"/>
            <w:right w:w="0" w:type="dxa"/>
          </w:tblCellMar>
        </w:tblPrEx>
        <w:trPr>
          <w:gridAfter w:val="1"/>
          <w:wAfter w:w="15" w:type="dxa"/>
          <w:trHeight w:val="375" w:hRule="atLeast"/>
        </w:trPr>
        <w:tc>
          <w:tcPr>
            <w:tcW w:w="13444" w:type="dxa"/>
            <w:gridSpan w:val="8"/>
            <w:vMerge w:val="restart"/>
            <w:tcBorders>
              <w:top w:val="nil"/>
              <w:left w:val="nil"/>
              <w:bottom w:val="nil"/>
              <w:right w:val="single" w:color="80808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黑体" w:hAnsi="宋体" w:eastAsia="黑体" w:cs="黑体"/>
                <w:i w:val="0"/>
                <w:color w:val="000000"/>
                <w:sz w:val="36"/>
                <w:szCs w:val="36"/>
                <w:u w:val="none"/>
              </w:rPr>
            </w:pPr>
            <w:r>
              <w:rPr>
                <w:rFonts w:hint="eastAsia" w:ascii="黑体" w:hAnsi="宋体" w:eastAsia="黑体" w:cs="黑体"/>
                <w:i w:val="0"/>
                <w:color w:val="000000"/>
                <w:kern w:val="0"/>
                <w:sz w:val="36"/>
                <w:szCs w:val="36"/>
                <w:u w:val="none"/>
                <w:lang w:val="en-US" w:eastAsia="zh-CN" w:bidi="ar"/>
              </w:rPr>
              <w:t>收入支出决算总表</w:t>
            </w:r>
          </w:p>
        </w:tc>
      </w:tr>
      <w:tr>
        <w:tblPrEx>
          <w:shd w:val="clear" w:color="auto" w:fill="auto"/>
          <w:tblCellMar>
            <w:top w:w="0" w:type="dxa"/>
            <w:left w:w="0" w:type="dxa"/>
            <w:bottom w:w="0" w:type="dxa"/>
            <w:right w:w="0" w:type="dxa"/>
          </w:tblCellMar>
        </w:tblPrEx>
        <w:trPr>
          <w:gridAfter w:val="1"/>
          <w:wAfter w:w="15" w:type="dxa"/>
          <w:trHeight w:val="312" w:hRule="atLeast"/>
        </w:trPr>
        <w:tc>
          <w:tcPr>
            <w:tcW w:w="13444" w:type="dxa"/>
            <w:gridSpan w:val="8"/>
            <w:vMerge w:val="continue"/>
            <w:tcBorders>
              <w:top w:val="nil"/>
              <w:left w:val="nil"/>
              <w:bottom w:val="nil"/>
              <w:right w:val="single" w:color="80808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黑体" w:hAnsi="宋体" w:eastAsia="黑体" w:cs="黑体"/>
                <w:i w:val="0"/>
                <w:color w:val="000000"/>
                <w:sz w:val="36"/>
                <w:szCs w:val="36"/>
                <w:u w:val="none"/>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664"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2433"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2278"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664"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2743" w:type="dxa"/>
            <w:gridSpan w:val="2"/>
            <w:tcBorders>
              <w:top w:val="nil"/>
              <w:left w:val="nil"/>
              <w:bottom w:val="nil"/>
              <w:right w:val="single" w:color="80808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nil"/>
              <w:bottom w:val="single" w:color="808080" w:sz="4" w:space="0"/>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Arial"/>
                <w:color w:val="000000"/>
                <w:kern w:val="0"/>
                <w:sz w:val="20"/>
                <w:szCs w:val="20"/>
                <w:lang w:val="en-US" w:eastAsia="zh-CN" w:bidi="ar"/>
              </w:rPr>
              <w:t>三门峡市创新发展中心</w:t>
            </w:r>
          </w:p>
        </w:tc>
        <w:tc>
          <w:tcPr>
            <w:tcW w:w="664" w:type="dxa"/>
            <w:tcBorders>
              <w:top w:val="nil"/>
              <w:left w:val="nil"/>
              <w:bottom w:val="single" w:color="808080" w:sz="4" w:space="0"/>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2433" w:type="dxa"/>
            <w:tcBorders>
              <w:top w:val="nil"/>
              <w:left w:val="nil"/>
              <w:bottom w:val="single" w:color="808080" w:sz="4" w:space="0"/>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2278" w:type="dxa"/>
            <w:tcBorders>
              <w:top w:val="nil"/>
              <w:left w:val="nil"/>
              <w:bottom w:val="single" w:color="808080" w:sz="4" w:space="0"/>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664" w:type="dxa"/>
            <w:gridSpan w:val="2"/>
            <w:tcBorders>
              <w:top w:val="nil"/>
              <w:left w:val="nil"/>
              <w:bottom w:val="single" w:color="808080" w:sz="4" w:space="0"/>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w:t>
            </w:r>
          </w:p>
        </w:tc>
        <w:tc>
          <w:tcPr>
            <w:tcW w:w="2743" w:type="dxa"/>
            <w:gridSpan w:val="2"/>
            <w:tcBorders>
              <w:top w:val="nil"/>
              <w:left w:val="nil"/>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shd w:val="clear" w:color="auto" w:fill="auto"/>
          <w:tblCellMar>
            <w:top w:w="0" w:type="dxa"/>
            <w:left w:w="0" w:type="dxa"/>
            <w:bottom w:w="0" w:type="dxa"/>
            <w:right w:w="0" w:type="dxa"/>
          </w:tblCellMar>
        </w:tblPrEx>
        <w:trPr>
          <w:gridAfter w:val="1"/>
          <w:wAfter w:w="15" w:type="dxa"/>
          <w:trHeight w:val="300" w:hRule="atLeast"/>
        </w:trPr>
        <w:tc>
          <w:tcPr>
            <w:tcW w:w="7759" w:type="dxa"/>
            <w:gridSpan w:val="3"/>
            <w:tcBorders>
              <w:top w:val="single" w:color="80808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收入</w:t>
            </w:r>
          </w:p>
        </w:tc>
        <w:tc>
          <w:tcPr>
            <w:tcW w:w="5685" w:type="dxa"/>
            <w:gridSpan w:val="5"/>
            <w:tcBorders>
              <w:top w:val="single" w:color="80808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支出</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行次</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行次</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金额</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栏次</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栏次</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一、一般公共预算财政拨款收入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126.36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32</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二、政府性基金预算财政拨款收入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33</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三、上级补助收入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3</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34</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四、事业收入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4</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35</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五、经营收入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5</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36</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六、附属单位上缴收入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37</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105.56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七、其他收入</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7</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38</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39</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8.36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9</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40</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6.14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41</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11</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iCs w:val="0"/>
                <w:color w:val="000000"/>
                <w:kern w:val="0"/>
                <w:sz w:val="22"/>
                <w:szCs w:val="22"/>
                <w:u w:val="none"/>
                <w:lang w:val="en-US" w:eastAsia="zh-CN" w:bidi="ar"/>
              </w:rPr>
              <w:t>十一、城乡社区支出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42</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43</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9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13</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十三、交通运输支出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14</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15</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16</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17</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18</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19</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6.30</w:t>
            </w:r>
            <w:bookmarkStart w:id="0" w:name="_GoBack"/>
            <w:bookmarkEnd w:id="0"/>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20</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21</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22</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23</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24</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25</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kern w:val="0"/>
                <w:sz w:val="20"/>
                <w:szCs w:val="20"/>
                <w:u w:val="none"/>
                <w:lang w:val="en-US" w:eastAsia="zh-CN" w:bidi="ar"/>
              </w:rPr>
            </w:pP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26</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kern w:val="0"/>
                <w:sz w:val="20"/>
                <w:szCs w:val="20"/>
                <w:u w:val="none"/>
                <w:lang w:val="en-US" w:eastAsia="zh-CN" w:bidi="ar"/>
              </w:rPr>
            </w:pP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本年收入合计</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27</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126.36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58</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126.36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用事业基金弥补收支差额</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28</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结余分配</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59</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年初结转和结余</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29</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60</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30</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u w:val="none"/>
              </w:rPr>
            </w:pP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61</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w:t>
            </w:r>
          </w:p>
        </w:tc>
      </w:tr>
      <w:tr>
        <w:tblPrEx>
          <w:shd w:val="clear" w:color="auto" w:fill="auto"/>
          <w:tblCellMar>
            <w:top w:w="0" w:type="dxa"/>
            <w:left w:w="0" w:type="dxa"/>
            <w:bottom w:w="0" w:type="dxa"/>
            <w:right w:w="0" w:type="dxa"/>
          </w:tblCellMar>
        </w:tblPrEx>
        <w:trPr>
          <w:gridAfter w:val="1"/>
          <w:wAfter w:w="15" w:type="dxa"/>
          <w:trHeight w:val="300" w:hRule="atLeast"/>
        </w:trPr>
        <w:tc>
          <w:tcPr>
            <w:tcW w:w="46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总计</w:t>
            </w:r>
          </w:p>
        </w:tc>
        <w:tc>
          <w:tcPr>
            <w:tcW w:w="6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color w:val="auto"/>
                <w:sz w:val="20"/>
                <w:szCs w:val="20"/>
                <w:u w:val="none"/>
                <w:lang w:val="en-US" w:eastAsia="zh-CN"/>
              </w:rPr>
            </w:pPr>
            <w:r>
              <w:rPr>
                <w:rFonts w:hint="eastAsia" w:ascii="宋体" w:hAnsi="宋体" w:eastAsia="宋体" w:cs="宋体"/>
                <w:i w:val="0"/>
                <w:color w:val="auto"/>
                <w:sz w:val="20"/>
                <w:szCs w:val="20"/>
                <w:u w:val="none"/>
                <w:lang w:val="en-US" w:eastAsia="zh-CN"/>
              </w:rPr>
              <w:t>31</w:t>
            </w:r>
          </w:p>
        </w:tc>
        <w:tc>
          <w:tcPr>
            <w:tcW w:w="243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126.36　</w:t>
            </w:r>
          </w:p>
        </w:tc>
        <w:tc>
          <w:tcPr>
            <w:tcW w:w="255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0"/>
                <w:szCs w:val="20"/>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75"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iCs w:val="0"/>
                <w:color w:val="000000"/>
                <w:kern w:val="0"/>
                <w:sz w:val="22"/>
                <w:szCs w:val="22"/>
                <w:u w:val="none"/>
                <w:lang w:val="en-US" w:eastAsia="zh-CN" w:bidi="ar"/>
              </w:rPr>
              <w:t>62</w:t>
            </w:r>
          </w:p>
        </w:tc>
        <w:tc>
          <w:tcPr>
            <w:tcW w:w="24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126.36　</w:t>
            </w:r>
          </w:p>
        </w:tc>
      </w:tr>
      <w:tr>
        <w:tblPrEx>
          <w:shd w:val="clear" w:color="auto" w:fill="auto"/>
          <w:tblCellMar>
            <w:top w:w="0" w:type="dxa"/>
            <w:left w:w="0" w:type="dxa"/>
            <w:bottom w:w="0" w:type="dxa"/>
            <w:right w:w="0" w:type="dxa"/>
          </w:tblCellMar>
        </w:tblPrEx>
        <w:trPr>
          <w:trHeight w:val="300" w:hRule="atLeast"/>
        </w:trPr>
        <w:tc>
          <w:tcPr>
            <w:tcW w:w="13459"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注：本表反映部门本年度的总收支和年末结转结余情况。本表金额转换为万元时，因四舍五入可能存在尾差。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3480" w:type="dxa"/>
        <w:tblInd w:w="0" w:type="dxa"/>
        <w:tblLayout w:type="fixed"/>
        <w:tblCellMar>
          <w:top w:w="0" w:type="dxa"/>
          <w:left w:w="0" w:type="dxa"/>
          <w:bottom w:w="0" w:type="dxa"/>
          <w:right w:w="0" w:type="dxa"/>
        </w:tblCellMar>
      </w:tblPr>
      <w:tblGrid>
        <w:gridCol w:w="1038"/>
        <w:gridCol w:w="90"/>
        <w:gridCol w:w="2855"/>
        <w:gridCol w:w="1000"/>
        <w:gridCol w:w="90"/>
        <w:gridCol w:w="477"/>
        <w:gridCol w:w="1042"/>
        <w:gridCol w:w="48"/>
        <w:gridCol w:w="477"/>
        <w:gridCol w:w="1090"/>
        <w:gridCol w:w="730"/>
        <w:gridCol w:w="968"/>
        <w:gridCol w:w="122"/>
        <w:gridCol w:w="224"/>
        <w:gridCol w:w="275"/>
        <w:gridCol w:w="586"/>
        <w:gridCol w:w="229"/>
        <w:gridCol w:w="479"/>
        <w:gridCol w:w="535"/>
        <w:gridCol w:w="175"/>
        <w:gridCol w:w="950"/>
      </w:tblGrid>
      <w:tr>
        <w:tblPrEx>
          <w:tblCellMar>
            <w:top w:w="0" w:type="dxa"/>
            <w:left w:w="0" w:type="dxa"/>
            <w:bottom w:w="0" w:type="dxa"/>
            <w:right w:w="0" w:type="dxa"/>
          </w:tblCellMar>
        </w:tblPrEx>
        <w:trPr>
          <w:wAfter w:w="0" w:type="auto"/>
          <w:trHeight w:val="90" w:hRule="atLeast"/>
        </w:trPr>
        <w:tc>
          <w:tcPr>
            <w:tcW w:w="13480" w:type="dxa"/>
            <w:gridSpan w:val="21"/>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收入决算表</w:t>
            </w:r>
          </w:p>
        </w:tc>
      </w:tr>
      <w:tr>
        <w:tblPrEx>
          <w:tblCellMar>
            <w:top w:w="0" w:type="dxa"/>
            <w:left w:w="0" w:type="dxa"/>
            <w:bottom w:w="0" w:type="dxa"/>
            <w:right w:w="0" w:type="dxa"/>
          </w:tblCellMar>
        </w:tblPrEx>
        <w:trPr>
          <w:wAfter w:w="0" w:type="auto"/>
          <w:trHeight w:val="90" w:hRule="atLeast"/>
        </w:trPr>
        <w:tc>
          <w:tcPr>
            <w:tcW w:w="1038"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9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3855"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9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567"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567"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820"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314" w:type="dxa"/>
            <w:gridSpan w:val="4"/>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89"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950"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公开02表</w:t>
            </w:r>
          </w:p>
        </w:tc>
      </w:tr>
      <w:tr>
        <w:tblPrEx>
          <w:tblCellMar>
            <w:top w:w="0" w:type="dxa"/>
            <w:left w:w="0" w:type="dxa"/>
            <w:bottom w:w="0" w:type="dxa"/>
            <w:right w:w="0" w:type="dxa"/>
          </w:tblCellMar>
        </w:tblPrEx>
        <w:trPr>
          <w:wAfter w:w="0" w:type="auto"/>
          <w:trHeight w:val="90" w:hRule="atLeast"/>
        </w:trPr>
        <w:tc>
          <w:tcPr>
            <w:tcW w:w="3983"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eastAsia" w:ascii="宋体" w:hAnsi="宋体" w:cs="宋体"/>
                <w:color w:val="000000"/>
                <w:sz w:val="20"/>
                <w:szCs w:val="20"/>
              </w:rPr>
            </w:pPr>
            <w:r>
              <w:rPr>
                <w:rFonts w:hint="eastAsia" w:ascii="宋体" w:hAnsi="宋体" w:cs="宋体"/>
                <w:color w:val="000000"/>
                <w:kern w:val="0"/>
                <w:sz w:val="20"/>
                <w:szCs w:val="20"/>
                <w:lang w:bidi="ar"/>
              </w:rPr>
              <w:t>部门：</w:t>
            </w:r>
            <w:r>
              <w:rPr>
                <w:rFonts w:hint="eastAsia" w:ascii="宋体" w:hAnsi="宋体" w:cs="宋体"/>
                <w:color w:val="000000"/>
                <w:kern w:val="0"/>
                <w:sz w:val="20"/>
                <w:szCs w:val="20"/>
                <w:lang w:val="en-US" w:eastAsia="zh-CN" w:bidi="ar"/>
              </w:rPr>
              <w:t>三门峡市创新发展中心</w:t>
            </w:r>
          </w:p>
        </w:tc>
        <w:tc>
          <w:tcPr>
            <w:tcW w:w="1567"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567"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820"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314"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569" w:type="dxa"/>
            <w:gridSpan w:val="4"/>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60"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wAfter w:w="0" w:type="auto"/>
          <w:trHeight w:val="90" w:hRule="atLeast"/>
        </w:trPr>
        <w:tc>
          <w:tcPr>
            <w:tcW w:w="4983" w:type="dxa"/>
            <w:gridSpan w:val="4"/>
            <w:tcBorders>
              <w:top w:val="single" w:color="000000" w:sz="8"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1609"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本年收入合计</w:t>
            </w:r>
          </w:p>
        </w:tc>
        <w:tc>
          <w:tcPr>
            <w:tcW w:w="2345" w:type="dxa"/>
            <w:gridSpan w:val="4"/>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财政拨款收入</w:t>
            </w:r>
          </w:p>
        </w:tc>
        <w:tc>
          <w:tcPr>
            <w:tcW w:w="968" w:type="dxa"/>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上级补助收入</w:t>
            </w:r>
          </w:p>
        </w:tc>
        <w:tc>
          <w:tcPr>
            <w:tcW w:w="621"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事业收入</w:t>
            </w:r>
          </w:p>
        </w:tc>
        <w:tc>
          <w:tcPr>
            <w:tcW w:w="586" w:type="dxa"/>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经营收入</w:t>
            </w:r>
          </w:p>
        </w:tc>
        <w:tc>
          <w:tcPr>
            <w:tcW w:w="1243"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附属单位上缴收入</w:t>
            </w:r>
          </w:p>
        </w:tc>
        <w:tc>
          <w:tcPr>
            <w:tcW w:w="1125" w:type="dxa"/>
            <w:gridSpan w:val="2"/>
            <w:vMerge w:val="restart"/>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其他收入</w:t>
            </w:r>
          </w:p>
        </w:tc>
      </w:tr>
      <w:tr>
        <w:tblPrEx>
          <w:tblCellMar>
            <w:top w:w="0" w:type="dxa"/>
            <w:left w:w="0" w:type="dxa"/>
            <w:bottom w:w="0" w:type="dxa"/>
            <w:right w:w="0" w:type="dxa"/>
          </w:tblCellMar>
        </w:tblPrEx>
        <w:trPr>
          <w:wAfter w:w="0" w:type="auto"/>
          <w:trHeight w:val="312" w:hRule="atLeast"/>
        </w:trPr>
        <w:tc>
          <w:tcPr>
            <w:tcW w:w="1128" w:type="dxa"/>
            <w:gridSpan w:val="2"/>
            <w:vMerge w:val="restart"/>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功能分类</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科目编码</w:t>
            </w:r>
          </w:p>
        </w:tc>
        <w:tc>
          <w:tcPr>
            <w:tcW w:w="385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科目名称</w:t>
            </w:r>
          </w:p>
        </w:tc>
        <w:tc>
          <w:tcPr>
            <w:tcW w:w="1609"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345" w:type="dxa"/>
            <w:gridSpan w:val="4"/>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968"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621"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586"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43"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25" w:type="dxa"/>
            <w:gridSpan w:val="2"/>
            <w:vMerge w:val="continue"/>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12" w:hRule="atLeast"/>
        </w:trPr>
        <w:tc>
          <w:tcPr>
            <w:tcW w:w="1128" w:type="dxa"/>
            <w:gridSpan w:val="2"/>
            <w:vMerge w:val="continue"/>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85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609"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345" w:type="dxa"/>
            <w:gridSpan w:val="4"/>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968"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621"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586"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43"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25" w:type="dxa"/>
            <w:gridSpan w:val="2"/>
            <w:vMerge w:val="continue"/>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4983" w:type="dxa"/>
            <w:gridSpan w:val="4"/>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栏次</w:t>
            </w:r>
          </w:p>
        </w:tc>
        <w:tc>
          <w:tcPr>
            <w:tcW w:w="160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234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96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621"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58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243"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1125" w:type="dxa"/>
            <w:gridSpan w:val="2"/>
            <w:tcBorders>
              <w:top w:val="single" w:color="000000" w:sz="4"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w:t>
            </w:r>
          </w:p>
        </w:tc>
      </w:tr>
      <w:tr>
        <w:tblPrEx>
          <w:tblCellMar>
            <w:top w:w="0" w:type="dxa"/>
            <w:left w:w="0" w:type="dxa"/>
            <w:bottom w:w="0" w:type="dxa"/>
            <w:right w:w="0" w:type="dxa"/>
          </w:tblCellMar>
        </w:tblPrEx>
        <w:trPr>
          <w:wAfter w:w="0" w:type="auto"/>
          <w:trHeight w:val="90" w:hRule="atLeast"/>
        </w:trPr>
        <w:tc>
          <w:tcPr>
            <w:tcW w:w="4983" w:type="dxa"/>
            <w:gridSpan w:val="4"/>
            <w:tcBorders>
              <w:top w:val="nil"/>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126.36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126.36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206</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科学技术支出</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20602</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基础研究</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2060201</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机构运行</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105.56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lang w:val="en-US"/>
              </w:rPr>
            </w:pPr>
            <w:r>
              <w:rPr>
                <w:rFonts w:hint="eastAsia" w:ascii="宋体" w:hAnsi="宋体" w:eastAsia="宋体" w:cs="宋体"/>
                <w:i w:val="0"/>
                <w:iCs w:val="0"/>
                <w:color w:val="000000"/>
                <w:kern w:val="0"/>
                <w:sz w:val="20"/>
                <w:szCs w:val="20"/>
                <w:u w:val="none"/>
                <w:lang w:val="en-US" w:eastAsia="zh-CN" w:bidi="ar"/>
              </w:rPr>
              <w:t>8.36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38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0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234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9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8.36</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卫生健康支出</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行政事业单位医疗</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2101102</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事业单位医疗</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6.14</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住房保障支出</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住房改革支出</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128" w:type="dxa"/>
            <w:gridSpan w:val="2"/>
            <w:tcBorders>
              <w:top w:val="single" w:color="000000" w:sz="4" w:space="0"/>
              <w:left w:val="single" w:color="000000" w:sz="8"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2210201</w:t>
            </w:r>
          </w:p>
        </w:tc>
        <w:tc>
          <w:tcPr>
            <w:tcW w:w="3855"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住房公积金</w:t>
            </w:r>
          </w:p>
        </w:tc>
        <w:tc>
          <w:tcPr>
            <w:tcW w:w="1609"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2345" w:type="dxa"/>
            <w:gridSpan w:val="4"/>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6.30</w:t>
            </w:r>
          </w:p>
        </w:tc>
        <w:tc>
          <w:tcPr>
            <w:tcW w:w="968"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21"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43"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25" w:type="dxa"/>
            <w:gridSpan w:val="2"/>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90" w:hRule="atLeast"/>
        </w:trPr>
        <w:tc>
          <w:tcPr>
            <w:tcW w:w="13480" w:type="dxa"/>
            <w:gridSpan w:val="21"/>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注：本表反映部门本年度取得的各项收入情况。本表金额转换为万元时，因四舍五入可能存在尾差。</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3880" w:type="dxa"/>
        <w:tblInd w:w="0" w:type="dxa"/>
        <w:tblLayout w:type="fixed"/>
        <w:tblCellMar>
          <w:top w:w="0" w:type="dxa"/>
          <w:left w:w="0" w:type="dxa"/>
          <w:bottom w:w="0" w:type="dxa"/>
          <w:right w:w="0" w:type="dxa"/>
        </w:tblCellMar>
      </w:tblPr>
      <w:tblGrid>
        <w:gridCol w:w="1039"/>
        <w:gridCol w:w="56"/>
        <w:gridCol w:w="39"/>
        <w:gridCol w:w="4271"/>
        <w:gridCol w:w="832"/>
        <w:gridCol w:w="1673"/>
        <w:gridCol w:w="1"/>
        <w:gridCol w:w="1500"/>
        <w:gridCol w:w="167"/>
        <w:gridCol w:w="811"/>
        <w:gridCol w:w="861"/>
        <w:gridCol w:w="394"/>
        <w:gridCol w:w="1009"/>
        <w:gridCol w:w="1227"/>
      </w:tblGrid>
      <w:tr>
        <w:tblPrEx>
          <w:tblCellMar>
            <w:top w:w="0" w:type="dxa"/>
            <w:left w:w="0" w:type="dxa"/>
            <w:bottom w:w="0" w:type="dxa"/>
            <w:right w:w="0" w:type="dxa"/>
          </w:tblCellMar>
        </w:tblPrEx>
        <w:trPr>
          <w:wAfter w:w="0" w:type="auto"/>
          <w:trHeight w:val="646" w:hRule="atLeast"/>
        </w:trPr>
        <w:tc>
          <w:tcPr>
            <w:tcW w:w="13880" w:type="dxa"/>
            <w:gridSpan w:val="14"/>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支出决算表</w:t>
            </w:r>
          </w:p>
        </w:tc>
      </w:tr>
      <w:tr>
        <w:tblPrEx>
          <w:tblCellMar>
            <w:top w:w="0" w:type="dxa"/>
            <w:left w:w="0" w:type="dxa"/>
            <w:bottom w:w="0" w:type="dxa"/>
            <w:right w:w="0" w:type="dxa"/>
          </w:tblCellMar>
        </w:tblPrEx>
        <w:trPr>
          <w:wAfter w:w="0" w:type="auto"/>
          <w:trHeight w:val="330" w:hRule="atLeast"/>
        </w:trPr>
        <w:tc>
          <w:tcPr>
            <w:tcW w:w="103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95"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427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832"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73"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68"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72"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403"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公开03表</w:t>
            </w:r>
          </w:p>
        </w:tc>
      </w:tr>
      <w:tr>
        <w:tblPrEx>
          <w:tblCellMar>
            <w:top w:w="0" w:type="dxa"/>
            <w:left w:w="0" w:type="dxa"/>
            <w:bottom w:w="0" w:type="dxa"/>
            <w:right w:w="0" w:type="dxa"/>
          </w:tblCellMar>
        </w:tblPrEx>
        <w:trPr>
          <w:wAfter w:w="0" w:type="auto"/>
          <w:trHeight w:val="330" w:hRule="atLeast"/>
        </w:trPr>
        <w:tc>
          <w:tcPr>
            <w:tcW w:w="5405" w:type="dxa"/>
            <w:gridSpan w:val="4"/>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left"/>
              <w:rPr>
                <w:rFonts w:hint="default" w:ascii="宋体" w:hAnsi="宋体" w:cs="宋体" w:eastAsiaTheme="minorEastAsia"/>
                <w:color w:val="000000"/>
                <w:sz w:val="20"/>
                <w:szCs w:val="20"/>
                <w:lang w:val="en-US" w:eastAsia="zh-CN"/>
              </w:rPr>
            </w:pPr>
            <w:r>
              <w:rPr>
                <w:rFonts w:hint="eastAsia" w:ascii="宋体" w:hAnsi="宋体" w:cs="宋体"/>
                <w:color w:val="000000"/>
                <w:kern w:val="0"/>
                <w:sz w:val="20"/>
                <w:szCs w:val="20"/>
                <w:lang w:bidi="ar"/>
              </w:rPr>
              <w:t>部门：</w:t>
            </w:r>
            <w:r>
              <w:rPr>
                <w:rFonts w:hint="eastAsia" w:ascii="宋体" w:hAnsi="宋体" w:cs="宋体"/>
                <w:color w:val="000000"/>
                <w:kern w:val="0"/>
                <w:sz w:val="20"/>
                <w:szCs w:val="20"/>
                <w:lang w:val="en-US" w:eastAsia="zh-CN" w:bidi="ar"/>
              </w:rPr>
              <w:t>三门峡市创新发展中心</w:t>
            </w:r>
          </w:p>
        </w:tc>
        <w:tc>
          <w:tcPr>
            <w:tcW w:w="832"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73"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668"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672"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403"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wAfter w:w="0" w:type="auto"/>
          <w:trHeight w:val="351" w:hRule="atLeast"/>
        </w:trPr>
        <w:tc>
          <w:tcPr>
            <w:tcW w:w="5405" w:type="dxa"/>
            <w:gridSpan w:val="4"/>
            <w:tcBorders>
              <w:top w:val="single" w:color="000000" w:sz="8"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2506"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本年支出合计</w:t>
            </w:r>
          </w:p>
        </w:tc>
        <w:tc>
          <w:tcPr>
            <w:tcW w:w="1500" w:type="dxa"/>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基本支出</w:t>
            </w:r>
          </w:p>
        </w:tc>
        <w:tc>
          <w:tcPr>
            <w:tcW w:w="978"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项目支出</w:t>
            </w:r>
          </w:p>
        </w:tc>
        <w:tc>
          <w:tcPr>
            <w:tcW w:w="1255" w:type="dxa"/>
            <w:gridSpan w:val="2"/>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上缴上级支出</w:t>
            </w:r>
          </w:p>
        </w:tc>
        <w:tc>
          <w:tcPr>
            <w:tcW w:w="1009" w:type="dxa"/>
            <w:vMerge w:val="restart"/>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经营支出</w:t>
            </w:r>
          </w:p>
        </w:tc>
        <w:tc>
          <w:tcPr>
            <w:tcW w:w="1227" w:type="dxa"/>
            <w:vMerge w:val="restart"/>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对附属单位补助支出</w:t>
            </w:r>
          </w:p>
        </w:tc>
      </w:tr>
      <w:tr>
        <w:tblPrEx>
          <w:tblCellMar>
            <w:top w:w="0" w:type="dxa"/>
            <w:left w:w="0" w:type="dxa"/>
            <w:bottom w:w="0" w:type="dxa"/>
            <w:right w:w="0" w:type="dxa"/>
          </w:tblCellMar>
        </w:tblPrEx>
        <w:trPr>
          <w:wAfter w:w="0" w:type="auto"/>
          <w:trHeight w:val="351" w:hRule="atLeast"/>
        </w:trPr>
        <w:tc>
          <w:tcPr>
            <w:tcW w:w="1095" w:type="dxa"/>
            <w:gridSpan w:val="2"/>
            <w:vMerge w:val="restart"/>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功能分类</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科目编码</w:t>
            </w:r>
          </w:p>
        </w:tc>
        <w:tc>
          <w:tcPr>
            <w:tcW w:w="431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科目名称</w:t>
            </w:r>
          </w:p>
        </w:tc>
        <w:tc>
          <w:tcPr>
            <w:tcW w:w="2506"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500"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978"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55"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009"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27" w:type="dxa"/>
            <w:vMerge w:val="continue"/>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51" w:hRule="atLeast"/>
        </w:trPr>
        <w:tc>
          <w:tcPr>
            <w:tcW w:w="1095" w:type="dxa"/>
            <w:gridSpan w:val="2"/>
            <w:vMerge w:val="continue"/>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431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506"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500"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978"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55" w:type="dxa"/>
            <w:gridSpan w:val="2"/>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009" w:type="dxa"/>
            <w:vMerge w:val="continue"/>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27" w:type="dxa"/>
            <w:vMerge w:val="continue"/>
            <w:tcBorders>
              <w:top w:val="single" w:color="000000" w:sz="8"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5405" w:type="dxa"/>
            <w:gridSpan w:val="4"/>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栏次</w:t>
            </w:r>
          </w:p>
        </w:tc>
        <w:tc>
          <w:tcPr>
            <w:tcW w:w="250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97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100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227" w:type="dxa"/>
            <w:tcBorders>
              <w:top w:val="single" w:color="000000" w:sz="4"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r>
      <w:tr>
        <w:tblPrEx>
          <w:tblCellMar>
            <w:top w:w="0" w:type="dxa"/>
            <w:left w:w="0" w:type="dxa"/>
            <w:bottom w:w="0" w:type="dxa"/>
            <w:right w:w="0" w:type="dxa"/>
          </w:tblCellMar>
        </w:tblPrEx>
        <w:trPr>
          <w:wAfter w:w="0" w:type="auto"/>
          <w:trHeight w:val="341" w:hRule="atLeast"/>
        </w:trPr>
        <w:tc>
          <w:tcPr>
            <w:tcW w:w="5405" w:type="dxa"/>
            <w:gridSpan w:val="4"/>
            <w:tcBorders>
              <w:top w:val="nil"/>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bCs/>
                <w:color w:val="000000"/>
                <w:sz w:val="22"/>
                <w:szCs w:val="22"/>
              </w:rPr>
            </w:pPr>
            <w:r>
              <w:rPr>
                <w:rFonts w:hint="eastAsia" w:ascii="宋体" w:hAnsi="宋体" w:eastAsia="宋体" w:cs="宋体"/>
                <w:b/>
                <w:bCs/>
                <w:i w:val="0"/>
                <w:iCs w:val="0"/>
                <w:color w:val="000000"/>
                <w:kern w:val="0"/>
                <w:sz w:val="22"/>
                <w:szCs w:val="22"/>
                <w:u w:val="none"/>
                <w:lang w:val="en-US" w:eastAsia="zh-CN" w:bidi="ar"/>
              </w:rPr>
              <w:t xml:space="preserve">126.36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bCs/>
                <w:color w:val="000000"/>
                <w:sz w:val="22"/>
                <w:szCs w:val="22"/>
              </w:rPr>
            </w:pPr>
            <w:r>
              <w:rPr>
                <w:rFonts w:hint="eastAsia" w:ascii="宋体" w:hAnsi="宋体" w:eastAsia="宋体" w:cs="宋体"/>
                <w:b/>
                <w:bCs/>
                <w:i w:val="0"/>
                <w:iCs w:val="0"/>
                <w:color w:val="000000"/>
                <w:kern w:val="0"/>
                <w:sz w:val="22"/>
                <w:szCs w:val="22"/>
                <w:u w:val="none"/>
                <w:lang w:val="en-US" w:eastAsia="zh-CN" w:bidi="ar"/>
              </w:rPr>
              <w:t xml:space="preserve">126.36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w:t>
            </w:r>
          </w:p>
        </w:tc>
        <w:tc>
          <w:tcPr>
            <w:tcW w:w="431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科学技术支出</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20602</w:t>
            </w:r>
          </w:p>
        </w:tc>
        <w:tc>
          <w:tcPr>
            <w:tcW w:w="431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基础研究</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2060201</w:t>
            </w:r>
          </w:p>
        </w:tc>
        <w:tc>
          <w:tcPr>
            <w:tcW w:w="431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机构运行</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431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431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0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15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9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卫生健康支出</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行政事业单位医疗</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2101102</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住房保障支出</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住房改革支出</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41" w:hRule="atLeast"/>
        </w:trPr>
        <w:tc>
          <w:tcPr>
            <w:tcW w:w="1095" w:type="dxa"/>
            <w:gridSpan w:val="2"/>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2210201</w:t>
            </w:r>
          </w:p>
        </w:tc>
        <w:tc>
          <w:tcPr>
            <w:tcW w:w="4310"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506" w:type="dxa"/>
            <w:gridSpan w:val="3"/>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150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978"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55" w:type="dxa"/>
            <w:gridSpan w:val="2"/>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00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227"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r>
      <w:tr>
        <w:tblPrEx>
          <w:tblCellMar>
            <w:top w:w="0" w:type="dxa"/>
            <w:left w:w="0" w:type="dxa"/>
            <w:bottom w:w="0" w:type="dxa"/>
            <w:right w:w="0" w:type="dxa"/>
          </w:tblCellMar>
        </w:tblPrEx>
        <w:trPr>
          <w:wAfter w:w="0" w:type="auto"/>
          <w:trHeight w:val="351" w:hRule="atLeast"/>
        </w:trPr>
        <w:tc>
          <w:tcPr>
            <w:tcW w:w="13880" w:type="dxa"/>
            <w:gridSpan w:val="14"/>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注：本表反映部门本年度各项支出情况。本表金额转换为万元时，因四舍五入可能存在尾差。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3700" w:type="dxa"/>
        <w:tblInd w:w="0" w:type="dxa"/>
        <w:tblLayout w:type="fixed"/>
        <w:tblCellMar>
          <w:top w:w="0" w:type="dxa"/>
          <w:left w:w="0" w:type="dxa"/>
          <w:bottom w:w="0" w:type="dxa"/>
          <w:right w:w="0" w:type="dxa"/>
        </w:tblCellMar>
      </w:tblPr>
      <w:tblGrid>
        <w:gridCol w:w="3911"/>
        <w:gridCol w:w="705"/>
        <w:gridCol w:w="1185"/>
        <w:gridCol w:w="3329"/>
        <w:gridCol w:w="584"/>
        <w:gridCol w:w="693"/>
        <w:gridCol w:w="1315"/>
        <w:gridCol w:w="329"/>
        <w:gridCol w:w="1649"/>
      </w:tblGrid>
      <w:tr>
        <w:tblPrEx>
          <w:tblCellMar>
            <w:top w:w="0" w:type="dxa"/>
            <w:left w:w="0" w:type="dxa"/>
            <w:bottom w:w="0" w:type="dxa"/>
            <w:right w:w="0" w:type="dxa"/>
          </w:tblCellMar>
        </w:tblPrEx>
        <w:trPr>
          <w:trHeight w:val="90" w:hRule="atLeast"/>
        </w:trPr>
        <w:tc>
          <w:tcPr>
            <w:tcW w:w="13700" w:type="dxa"/>
            <w:gridSpan w:val="9"/>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财政拨款收入支出决算总表</w:t>
            </w:r>
          </w:p>
        </w:tc>
      </w:tr>
      <w:tr>
        <w:tblPrEx>
          <w:tblCellMar>
            <w:top w:w="0" w:type="dxa"/>
            <w:left w:w="0" w:type="dxa"/>
            <w:bottom w:w="0" w:type="dxa"/>
            <w:right w:w="0" w:type="dxa"/>
          </w:tblCellMar>
        </w:tblPrEx>
        <w:trPr>
          <w:trHeight w:val="90" w:hRule="atLeast"/>
        </w:trPr>
        <w:tc>
          <w:tcPr>
            <w:tcW w:w="391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70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8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332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4"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93"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31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978"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公开04表</w:t>
            </w:r>
          </w:p>
        </w:tc>
      </w:tr>
      <w:tr>
        <w:tblPrEx>
          <w:tblCellMar>
            <w:top w:w="0" w:type="dxa"/>
            <w:left w:w="0" w:type="dxa"/>
            <w:bottom w:w="0" w:type="dxa"/>
            <w:right w:w="0" w:type="dxa"/>
          </w:tblCellMar>
        </w:tblPrEx>
        <w:trPr>
          <w:trHeight w:val="90" w:hRule="atLeast"/>
        </w:trPr>
        <w:tc>
          <w:tcPr>
            <w:tcW w:w="391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部门：</w:t>
            </w:r>
            <w:r>
              <w:rPr>
                <w:rFonts w:hint="eastAsia" w:ascii="宋体" w:hAnsi="宋体" w:cs="宋体"/>
                <w:color w:val="000000"/>
                <w:kern w:val="0"/>
                <w:sz w:val="20"/>
                <w:szCs w:val="20"/>
                <w:lang w:val="en-US" w:eastAsia="zh-CN" w:bidi="ar"/>
              </w:rPr>
              <w:t>三门峡市创新发展中心</w:t>
            </w:r>
          </w:p>
        </w:tc>
        <w:tc>
          <w:tcPr>
            <w:tcW w:w="70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18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332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584"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693"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31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right"/>
              <w:rPr>
                <w:rFonts w:hint="eastAsia" w:ascii="宋体" w:hAnsi="宋体" w:cs="宋体"/>
                <w:color w:val="000000"/>
                <w:sz w:val="20"/>
                <w:szCs w:val="20"/>
              </w:rPr>
            </w:pPr>
          </w:p>
        </w:tc>
        <w:tc>
          <w:tcPr>
            <w:tcW w:w="1978" w:type="dxa"/>
            <w:gridSpan w:val="2"/>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trHeight w:val="90" w:hRule="atLeast"/>
        </w:trPr>
        <w:tc>
          <w:tcPr>
            <w:tcW w:w="5801" w:type="dxa"/>
            <w:gridSpan w:val="3"/>
            <w:tcBorders>
              <w:top w:val="single" w:color="000000" w:sz="8"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收入</w:t>
            </w:r>
          </w:p>
        </w:tc>
        <w:tc>
          <w:tcPr>
            <w:tcW w:w="7899" w:type="dxa"/>
            <w:gridSpan w:val="6"/>
            <w:tcBorders>
              <w:top w:val="single" w:color="000000" w:sz="8"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支出</w:t>
            </w: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行次</w:t>
            </w:r>
          </w:p>
        </w:tc>
        <w:tc>
          <w:tcPr>
            <w:tcW w:w="11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金额</w:t>
            </w: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行次</w:t>
            </w:r>
          </w:p>
        </w:tc>
        <w:tc>
          <w:tcPr>
            <w:tcW w:w="6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64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一般公共预算财政拨款</w:t>
            </w: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政府性基金预算财政拨款</w:t>
            </w: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    次</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    次</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6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649" w:type="dxa"/>
            <w:tcBorders>
              <w:top w:val="single" w:color="000000" w:sz="4" w:space="0"/>
              <w:left w:val="single" w:color="000000" w:sz="4" w:space="0"/>
              <w:bottom w:val="single" w:color="000000" w:sz="4" w:space="0"/>
              <w:right w:val="single" w:color="000000" w:sz="8"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 xml:space="preserve">126.36 </w:t>
            </w: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二、外交支出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三、国有资本经营财政拨款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三、国防支出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四、公共安全支出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五、教育支出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六、科学技术支出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105.56 </w:t>
            </w: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105.56 </w:t>
            </w: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693"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8.36 </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8.36 </w:t>
            </w: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九、卫生健康支出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6.14 </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6.14 </w:t>
            </w: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十、节能环保支出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十一、城乡社区支出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十二、农林水支出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十三、交通运输支出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十六、金融支出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十九、住房保障支出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6.30 </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6.30 </w:t>
            </w: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二十三、其他支出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kern w:val="0"/>
                <w:sz w:val="20"/>
                <w:szCs w:val="20"/>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jc w:val="left"/>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r>
              <w:rPr>
                <w:rFonts w:hint="eastAsia" w:ascii="宋体" w:hAnsi="宋体" w:eastAsia="宋体" w:cs="宋体"/>
                <w:b/>
                <w:bCs/>
                <w:i w:val="0"/>
                <w:iCs w:val="0"/>
                <w:color w:val="000000"/>
                <w:kern w:val="0"/>
                <w:sz w:val="22"/>
                <w:szCs w:val="22"/>
                <w:u w:val="none"/>
                <w:lang w:val="en-US" w:eastAsia="zh-CN" w:bidi="ar"/>
              </w:rPr>
              <w:t>本年收入合计</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126.36 </w:t>
            </w: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126.36 </w:t>
            </w: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126.36 </w:t>
            </w: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1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693" w:type="dxa"/>
            <w:tcBorders>
              <w:top w:val="single" w:color="000000" w:sz="4" w:space="0"/>
              <w:left w:val="nil"/>
              <w:bottom w:val="single" w:color="000000" w:sz="4" w:space="0"/>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11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693" w:type="dxa"/>
            <w:tcBorders>
              <w:top w:val="single" w:color="000000" w:sz="4" w:space="0"/>
              <w:left w:val="nil"/>
              <w:bottom w:val="nil"/>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nil"/>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1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bottom"/>
          </w:tcPr>
          <w:p>
            <w:pPr>
              <w:rPr>
                <w:rFonts w:hint="eastAsia" w:ascii="宋体" w:hAnsi="宋体" w:eastAsia="宋体" w:cs="宋体"/>
                <w:color w:val="000000"/>
                <w:sz w:val="22"/>
                <w:szCs w:val="22"/>
              </w:rPr>
            </w:pPr>
          </w:p>
        </w:tc>
        <w:tc>
          <w:tcPr>
            <w:tcW w:w="3329" w:type="dxa"/>
            <w:tcBorders>
              <w:top w:val="single" w:color="000000" w:sz="4" w:space="0"/>
              <w:left w:val="single" w:color="000000" w:sz="4" w:space="0"/>
              <w:bottom w:val="nil"/>
              <w:right w:val="nil"/>
            </w:tcBorders>
            <w:shd w:val="clear" w:color="auto" w:fill="auto"/>
            <w:tcMar>
              <w:top w:w="15" w:type="dxa"/>
              <w:left w:w="15" w:type="dxa"/>
              <w:right w:w="15" w:type="dxa"/>
            </w:tcMar>
            <w:vAlign w:val="center"/>
          </w:tcPr>
          <w:p>
            <w:pPr>
              <w:jc w:val="left"/>
              <w:rPr>
                <w:rFonts w:hint="eastAsia" w:ascii="宋体" w:hAnsi="宋体" w:cs="宋体"/>
                <w:color w:val="000000"/>
                <w:sz w:val="20"/>
                <w:szCs w:val="20"/>
              </w:rPr>
            </w:pP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63</w:t>
            </w:r>
          </w:p>
        </w:tc>
        <w:tc>
          <w:tcPr>
            <w:tcW w:w="693" w:type="dxa"/>
            <w:tcBorders>
              <w:top w:val="single" w:color="000000" w:sz="4" w:space="0"/>
              <w:left w:val="nil"/>
              <w:bottom w:val="nil"/>
              <w:right w:val="nil"/>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rPr>
                <w:rFonts w:hint="eastAsia" w:ascii="宋体" w:hAnsi="宋体" w:eastAsia="宋体" w:cs="宋体"/>
                <w:b w:val="0"/>
                <w:bCs w:val="0"/>
                <w:color w:val="000000"/>
                <w:sz w:val="22"/>
                <w:szCs w:val="22"/>
              </w:rPr>
            </w:pPr>
          </w:p>
        </w:tc>
        <w:tc>
          <w:tcPr>
            <w:tcW w:w="1649" w:type="dxa"/>
            <w:tcBorders>
              <w:top w:val="single" w:color="000000" w:sz="4" w:space="0"/>
              <w:left w:val="nil"/>
              <w:bottom w:val="nil"/>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90" w:hRule="atLeast"/>
        </w:trPr>
        <w:tc>
          <w:tcPr>
            <w:tcW w:w="3911" w:type="dxa"/>
            <w:tcBorders>
              <w:top w:val="single" w:color="000000" w:sz="4" w:space="0"/>
              <w:left w:val="single" w:color="000000" w:sz="8"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r>
              <w:rPr>
                <w:rFonts w:hint="eastAsia" w:ascii="宋体" w:hAnsi="宋体" w:eastAsia="宋体" w:cs="宋体"/>
                <w:b/>
                <w:bCs/>
                <w:i w:val="0"/>
                <w:iCs w:val="0"/>
                <w:color w:val="000000"/>
                <w:kern w:val="0"/>
                <w:sz w:val="22"/>
                <w:szCs w:val="22"/>
                <w:u w:val="none"/>
                <w:lang w:val="en-US" w:eastAsia="zh-CN" w:bidi="ar"/>
              </w:rPr>
              <w:t>总计</w:t>
            </w:r>
          </w:p>
        </w:tc>
        <w:tc>
          <w:tcPr>
            <w:tcW w:w="7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1185"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126.36 </w:t>
            </w:r>
          </w:p>
        </w:tc>
        <w:tc>
          <w:tcPr>
            <w:tcW w:w="3329" w:type="dxa"/>
            <w:tcBorders>
              <w:top w:val="single" w:color="000000" w:sz="4" w:space="0"/>
              <w:left w:val="single" w:color="000000" w:sz="4" w:space="0"/>
              <w:bottom w:val="single" w:color="000000" w:sz="8" w:space="0"/>
              <w:right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r>
              <w:rPr>
                <w:rFonts w:hint="eastAsia" w:ascii="宋体" w:hAnsi="宋体" w:eastAsia="宋体" w:cs="宋体"/>
                <w:b/>
                <w:bCs/>
                <w:i w:val="0"/>
                <w:iCs w:val="0"/>
                <w:color w:val="000000"/>
                <w:kern w:val="0"/>
                <w:sz w:val="22"/>
                <w:szCs w:val="22"/>
                <w:u w:val="none"/>
                <w:lang w:val="en-US" w:eastAsia="zh-CN" w:bidi="ar"/>
              </w:rPr>
              <w:t>总计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eastAsiaTheme="minorEastAsia"/>
                <w:color w:val="000000"/>
                <w:sz w:val="20"/>
                <w:szCs w:val="20"/>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693" w:type="dxa"/>
            <w:tcBorders>
              <w:top w:val="single" w:color="000000" w:sz="4" w:space="0"/>
              <w:left w:val="nil"/>
              <w:bottom w:val="nil"/>
              <w:right w:val="nil"/>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126.36 </w:t>
            </w:r>
          </w:p>
        </w:tc>
        <w:tc>
          <w:tcPr>
            <w:tcW w:w="1644" w:type="dxa"/>
            <w:gridSpan w:val="2"/>
            <w:tcBorders>
              <w:top w:val="single" w:color="000000" w:sz="4" w:space="0"/>
              <w:left w:val="single" w:color="000000" w:sz="4" w:space="0"/>
              <w:bottom w:val="single" w:color="000000" w:sz="8"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val="0"/>
                <w:bCs w:val="0"/>
                <w:color w:val="000000"/>
                <w:sz w:val="22"/>
                <w:szCs w:val="22"/>
              </w:rPr>
            </w:pPr>
            <w:r>
              <w:rPr>
                <w:rFonts w:hint="eastAsia" w:ascii="宋体" w:hAnsi="宋体" w:eastAsia="宋体" w:cs="宋体"/>
                <w:b w:val="0"/>
                <w:bCs w:val="0"/>
                <w:i w:val="0"/>
                <w:iCs w:val="0"/>
                <w:color w:val="000000"/>
                <w:kern w:val="0"/>
                <w:sz w:val="22"/>
                <w:szCs w:val="22"/>
                <w:u w:val="none"/>
                <w:lang w:val="en-US" w:eastAsia="zh-CN" w:bidi="ar"/>
              </w:rPr>
              <w:t xml:space="preserve">126.36 </w:t>
            </w:r>
          </w:p>
        </w:tc>
        <w:tc>
          <w:tcPr>
            <w:tcW w:w="1649" w:type="dxa"/>
            <w:tcBorders>
              <w:top w:val="single" w:color="000000" w:sz="4" w:space="0"/>
              <w:left w:val="nil"/>
              <w:bottom w:val="single" w:color="000000" w:sz="8"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color w:val="000000"/>
                <w:sz w:val="20"/>
                <w:szCs w:val="20"/>
              </w:rPr>
            </w:pPr>
          </w:p>
        </w:tc>
      </w:tr>
      <w:tr>
        <w:tblPrEx>
          <w:tblCellMar>
            <w:top w:w="0" w:type="dxa"/>
            <w:left w:w="0" w:type="dxa"/>
            <w:bottom w:w="0" w:type="dxa"/>
            <w:right w:w="0" w:type="dxa"/>
          </w:tblCellMar>
        </w:tblPrEx>
        <w:trPr>
          <w:trHeight w:val="90" w:hRule="atLeast"/>
        </w:trPr>
        <w:tc>
          <w:tcPr>
            <w:tcW w:w="13700" w:type="dxa"/>
            <w:gridSpan w:val="9"/>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注：本表反映部门本年度一般公共预算财政拨款和政府性基金预算财政拨款的总收支和年末结转结余情况。本表金额转换为万元时，因四舍五入可能存在尾差。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3988" w:type="dxa"/>
        <w:tblInd w:w="0" w:type="dxa"/>
        <w:tblLayout w:type="fixed"/>
        <w:tblCellMar>
          <w:top w:w="0" w:type="dxa"/>
          <w:left w:w="0" w:type="dxa"/>
          <w:bottom w:w="0" w:type="dxa"/>
          <w:right w:w="0" w:type="dxa"/>
        </w:tblCellMar>
      </w:tblPr>
      <w:tblGrid>
        <w:gridCol w:w="726"/>
        <w:gridCol w:w="688"/>
        <w:gridCol w:w="2225"/>
        <w:gridCol w:w="3449"/>
        <w:gridCol w:w="3449"/>
        <w:gridCol w:w="3451"/>
      </w:tblGrid>
      <w:tr>
        <w:tblPrEx>
          <w:tblCellMar>
            <w:top w:w="0" w:type="dxa"/>
            <w:left w:w="0" w:type="dxa"/>
            <w:bottom w:w="0" w:type="dxa"/>
            <w:right w:w="0" w:type="dxa"/>
          </w:tblCellMar>
        </w:tblPrEx>
        <w:trPr>
          <w:trHeight w:val="600" w:hRule="atLeast"/>
        </w:trPr>
        <w:tc>
          <w:tcPr>
            <w:tcW w:w="13988" w:type="dxa"/>
            <w:gridSpan w:val="6"/>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一般公共预算财政拨款支出决算表</w:t>
            </w:r>
          </w:p>
        </w:tc>
      </w:tr>
      <w:tr>
        <w:tblPrEx>
          <w:tblCellMar>
            <w:top w:w="0" w:type="dxa"/>
            <w:left w:w="0" w:type="dxa"/>
            <w:bottom w:w="0" w:type="dxa"/>
            <w:right w:w="0" w:type="dxa"/>
          </w:tblCellMar>
        </w:tblPrEx>
        <w:trPr>
          <w:trHeight w:val="222" w:hRule="atLeast"/>
        </w:trPr>
        <w:tc>
          <w:tcPr>
            <w:tcW w:w="7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688"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225"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34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34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w:t>
            </w:r>
            <w:r>
              <w:rPr>
                <w:rStyle w:val="7"/>
                <w:rFonts w:hint="default"/>
                <w:lang w:bidi="ar"/>
              </w:rPr>
              <w:t>5表</w:t>
            </w:r>
          </w:p>
        </w:tc>
      </w:tr>
      <w:tr>
        <w:tblPrEx>
          <w:tblCellMar>
            <w:top w:w="0" w:type="dxa"/>
            <w:left w:w="0" w:type="dxa"/>
            <w:bottom w:w="0" w:type="dxa"/>
            <w:right w:w="0" w:type="dxa"/>
          </w:tblCellMar>
        </w:tblPrEx>
        <w:trPr>
          <w:trHeight w:val="300" w:hRule="atLeast"/>
        </w:trPr>
        <w:tc>
          <w:tcPr>
            <w:tcW w:w="3639"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both"/>
              <w:rPr>
                <w:rFonts w:hint="default" w:ascii="宋体" w:hAnsi="宋体" w:cs="宋体" w:eastAsiaTheme="minorEastAsia"/>
                <w:color w:val="000000"/>
                <w:sz w:val="20"/>
                <w:szCs w:val="20"/>
                <w:lang w:val="en-US" w:eastAsia="zh-CN"/>
              </w:rPr>
            </w:pPr>
            <w:r>
              <w:rPr>
                <w:rFonts w:hint="eastAsia" w:ascii="宋体" w:hAnsi="宋体" w:cs="宋体"/>
                <w:color w:val="000000"/>
                <w:kern w:val="0"/>
                <w:sz w:val="20"/>
                <w:szCs w:val="20"/>
                <w:lang w:bidi="ar"/>
              </w:rPr>
              <w:t>部门：</w:t>
            </w:r>
            <w:r>
              <w:rPr>
                <w:rFonts w:hint="eastAsia" w:ascii="宋体" w:hAnsi="宋体" w:cs="宋体"/>
                <w:color w:val="000000"/>
                <w:kern w:val="0"/>
                <w:sz w:val="20"/>
                <w:szCs w:val="20"/>
                <w:lang w:val="en-US" w:eastAsia="zh-CN" w:bidi="ar"/>
              </w:rPr>
              <w:t>三门峡市创新发展中心</w:t>
            </w:r>
          </w:p>
        </w:tc>
        <w:tc>
          <w:tcPr>
            <w:tcW w:w="34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34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34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trHeight w:val="405" w:hRule="atLeast"/>
        </w:trPr>
        <w:tc>
          <w:tcPr>
            <w:tcW w:w="3639" w:type="dxa"/>
            <w:gridSpan w:val="3"/>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 xml:space="preserve">项 </w:t>
            </w:r>
            <w:r>
              <w:rPr>
                <w:rStyle w:val="8"/>
                <w:rFonts w:hint="default"/>
                <w:sz w:val="20"/>
                <w:szCs w:val="20"/>
                <w:lang w:bidi="ar"/>
              </w:rPr>
              <w:t xml:space="preserve">   </w:t>
            </w:r>
            <w:r>
              <w:rPr>
                <w:rStyle w:val="9"/>
                <w:rFonts w:hint="default"/>
                <w:sz w:val="20"/>
                <w:szCs w:val="20"/>
                <w:lang w:bidi="ar"/>
              </w:rPr>
              <w:t>目</w:t>
            </w:r>
          </w:p>
        </w:tc>
        <w:tc>
          <w:tcPr>
            <w:tcW w:w="10349" w:type="dxa"/>
            <w:gridSpan w:val="3"/>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本年支出</w:t>
            </w:r>
          </w:p>
        </w:tc>
      </w:tr>
      <w:tr>
        <w:tblPrEx>
          <w:tblCellMar>
            <w:top w:w="0" w:type="dxa"/>
            <w:left w:w="0" w:type="dxa"/>
            <w:bottom w:w="0" w:type="dxa"/>
            <w:right w:w="0" w:type="dxa"/>
          </w:tblCellMar>
        </w:tblPrEx>
        <w:trPr>
          <w:trHeight w:val="495" w:hRule="atLeast"/>
        </w:trPr>
        <w:tc>
          <w:tcPr>
            <w:tcW w:w="1414" w:type="dxa"/>
            <w:gridSpan w:val="2"/>
            <w:vMerge w:val="restart"/>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功能分类</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科目编码</w:t>
            </w:r>
          </w:p>
        </w:tc>
        <w:tc>
          <w:tcPr>
            <w:tcW w:w="22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科目名称</w:t>
            </w:r>
          </w:p>
        </w:tc>
        <w:tc>
          <w:tcPr>
            <w:tcW w:w="3449"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3449"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基本支出</w:t>
            </w:r>
          </w:p>
        </w:tc>
        <w:tc>
          <w:tcPr>
            <w:tcW w:w="3451" w:type="dxa"/>
            <w:vMerge w:val="restart"/>
            <w:tcBorders>
              <w:top w:val="nil"/>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项目支出</w:t>
            </w:r>
          </w:p>
        </w:tc>
      </w:tr>
      <w:tr>
        <w:tblPrEx>
          <w:tblCellMar>
            <w:top w:w="0" w:type="dxa"/>
            <w:left w:w="0" w:type="dxa"/>
            <w:bottom w:w="0" w:type="dxa"/>
            <w:right w:w="0" w:type="dxa"/>
          </w:tblCellMar>
        </w:tblPrEx>
        <w:trPr>
          <w:trHeight w:val="360" w:hRule="atLeast"/>
        </w:trPr>
        <w:tc>
          <w:tcPr>
            <w:tcW w:w="1414"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2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4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4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51" w:type="dxa"/>
            <w:vMerge w:val="continue"/>
            <w:tcBorders>
              <w:top w:val="nil"/>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22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4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49"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3451" w:type="dxa"/>
            <w:vMerge w:val="continue"/>
            <w:tcBorders>
              <w:top w:val="nil"/>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3639" w:type="dxa"/>
            <w:gridSpan w:val="3"/>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栏次</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r>
      <w:tr>
        <w:tblPrEx>
          <w:tblCellMar>
            <w:top w:w="0" w:type="dxa"/>
            <w:left w:w="0" w:type="dxa"/>
            <w:bottom w:w="0" w:type="dxa"/>
            <w:right w:w="0" w:type="dxa"/>
          </w:tblCellMar>
        </w:tblPrEx>
        <w:trPr>
          <w:trHeight w:val="450" w:hRule="atLeast"/>
        </w:trPr>
        <w:tc>
          <w:tcPr>
            <w:tcW w:w="3639" w:type="dxa"/>
            <w:gridSpan w:val="3"/>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bCs/>
                <w:color w:val="000000"/>
                <w:sz w:val="22"/>
                <w:szCs w:val="22"/>
              </w:rPr>
            </w:pPr>
            <w:r>
              <w:rPr>
                <w:rFonts w:hint="eastAsia" w:ascii="宋体" w:hAnsi="宋体" w:eastAsia="宋体" w:cs="宋体"/>
                <w:b/>
                <w:bCs/>
                <w:i w:val="0"/>
                <w:iCs w:val="0"/>
                <w:color w:val="000000"/>
                <w:kern w:val="0"/>
                <w:sz w:val="22"/>
                <w:szCs w:val="22"/>
                <w:u w:val="none"/>
                <w:lang w:val="en-US" w:eastAsia="zh-CN" w:bidi="ar"/>
              </w:rPr>
              <w:t xml:space="preserve">126.36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b/>
                <w:bCs/>
                <w:color w:val="000000"/>
                <w:sz w:val="22"/>
                <w:szCs w:val="22"/>
              </w:rPr>
            </w:pPr>
            <w:r>
              <w:rPr>
                <w:rFonts w:hint="eastAsia" w:ascii="宋体" w:hAnsi="宋体" w:eastAsia="宋体" w:cs="宋体"/>
                <w:b/>
                <w:bCs/>
                <w:i w:val="0"/>
                <w:iCs w:val="0"/>
                <w:color w:val="000000"/>
                <w:kern w:val="0"/>
                <w:sz w:val="22"/>
                <w:szCs w:val="22"/>
                <w:u w:val="none"/>
                <w:lang w:val="en-US" w:eastAsia="zh-CN" w:bidi="ar"/>
              </w:rPr>
              <w:t xml:space="preserve">126.36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科学技术支出</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20602</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基础研究</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2060201</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机构运行</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105.56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2080505</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8.36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卫生健康支出</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行政事业单位医疗</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2101102</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6.14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住房保障支出</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住房改革支出</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414"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2210201</w:t>
            </w:r>
          </w:p>
        </w:tc>
        <w:tc>
          <w:tcPr>
            <w:tcW w:w="2225"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000000"/>
                <w:sz w:val="20"/>
                <w:szCs w:val="20"/>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 xml:space="preserve">6.30 </w:t>
            </w:r>
          </w:p>
        </w:tc>
        <w:tc>
          <w:tcPr>
            <w:tcW w:w="34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13988" w:type="dxa"/>
            <w:gridSpan w:val="6"/>
            <w:tcBorders>
              <w:top w:val="nil"/>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注：本表反映部门本年度一般公共预算财政拨款支出情况。本表金额转换为万元时，因四舍五入可能存在尾差。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4013" w:type="dxa"/>
        <w:tblInd w:w="93" w:type="dxa"/>
        <w:shd w:val="clear" w:color="auto" w:fill="auto"/>
        <w:tblLayout w:type="fixed"/>
        <w:tblCellMar>
          <w:top w:w="0" w:type="dxa"/>
          <w:left w:w="108" w:type="dxa"/>
          <w:bottom w:w="0" w:type="dxa"/>
          <w:right w:w="108" w:type="dxa"/>
        </w:tblCellMar>
      </w:tblPr>
      <w:tblGrid>
        <w:gridCol w:w="860"/>
        <w:gridCol w:w="2050"/>
        <w:gridCol w:w="1935"/>
        <w:gridCol w:w="718"/>
        <w:gridCol w:w="2030"/>
        <w:gridCol w:w="716"/>
        <w:gridCol w:w="122"/>
        <w:gridCol w:w="718"/>
        <w:gridCol w:w="3830"/>
        <w:gridCol w:w="1034"/>
      </w:tblGrid>
      <w:tr>
        <w:tblPrEx>
          <w:shd w:val="clear" w:color="auto" w:fill="auto"/>
          <w:tblCellMar>
            <w:top w:w="0" w:type="dxa"/>
            <w:left w:w="108" w:type="dxa"/>
            <w:bottom w:w="0" w:type="dxa"/>
            <w:right w:w="108" w:type="dxa"/>
          </w:tblCellMar>
        </w:tblPrEx>
        <w:trPr>
          <w:trHeight w:val="450" w:hRule="atLeast"/>
        </w:trPr>
        <w:tc>
          <w:tcPr>
            <w:tcW w:w="860"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2"/>
                <w:szCs w:val="22"/>
                <w:lang w:val="en-US"/>
              </w:rPr>
            </w:pPr>
            <w:r>
              <w:rPr>
                <w:rFonts w:hint="eastAsia" w:ascii="宋体" w:hAnsi="宋体" w:eastAsia="宋体" w:cs="Arial"/>
                <w:kern w:val="0"/>
                <w:sz w:val="22"/>
                <w:szCs w:val="22"/>
                <w:lang w:val="en-US" w:eastAsia="zh-CN" w:bidi="ar"/>
              </w:rPr>
              <w:t>　</w:t>
            </w:r>
          </w:p>
        </w:tc>
        <w:tc>
          <w:tcPr>
            <w:tcW w:w="13153" w:type="dxa"/>
            <w:gridSpan w:val="9"/>
            <w:shd w:val="clear" w:color="auto" w:fill="FFFFFF"/>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Arial"/>
                <w:color w:val="000000"/>
                <w:kern w:val="0"/>
                <w:sz w:val="32"/>
                <w:szCs w:val="32"/>
                <w:lang w:val="en-US"/>
              </w:rPr>
            </w:pPr>
            <w:r>
              <w:rPr>
                <w:rFonts w:hint="eastAsia" w:ascii="黑体" w:hAnsi="宋体" w:eastAsia="黑体" w:cs="Arial"/>
                <w:color w:val="000000"/>
                <w:kern w:val="0"/>
                <w:sz w:val="32"/>
                <w:szCs w:val="32"/>
                <w:lang w:val="en-US" w:eastAsia="zh-CN" w:bidi="ar"/>
              </w:rPr>
              <w:t>一般公共预算财政拨款基本支出决算表</w:t>
            </w:r>
          </w:p>
        </w:tc>
      </w:tr>
      <w:tr>
        <w:tblPrEx>
          <w:shd w:val="clear" w:color="auto" w:fill="auto"/>
          <w:tblCellMar>
            <w:top w:w="0" w:type="dxa"/>
            <w:left w:w="108" w:type="dxa"/>
            <w:bottom w:w="0" w:type="dxa"/>
            <w:right w:w="108" w:type="dxa"/>
          </w:tblCellMar>
        </w:tblPrEx>
        <w:trPr>
          <w:trHeight w:val="300" w:hRule="atLeast"/>
        </w:trPr>
        <w:tc>
          <w:tcPr>
            <w:tcW w:w="860"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2050"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1935"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718"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2030"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716"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840" w:type="dxa"/>
            <w:gridSpan w:val="2"/>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3830" w:type="dxa"/>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1034" w:type="dxa"/>
            <w:shd w:val="clear" w:color="auto" w:fill="FFFFFF"/>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color w:val="000000"/>
                <w:kern w:val="0"/>
                <w:sz w:val="18"/>
                <w:szCs w:val="18"/>
                <w:lang w:val="en-US"/>
              </w:rPr>
            </w:pPr>
            <w:r>
              <w:rPr>
                <w:rFonts w:hint="eastAsia" w:ascii="宋体" w:hAnsi="宋体" w:eastAsia="宋体" w:cs="Arial"/>
                <w:color w:val="000000"/>
                <w:kern w:val="0"/>
                <w:sz w:val="18"/>
                <w:szCs w:val="18"/>
                <w:lang w:val="en-US" w:eastAsia="zh-CN" w:bidi="ar"/>
              </w:rPr>
              <w:t>公开06表</w:t>
            </w:r>
          </w:p>
        </w:tc>
      </w:tr>
      <w:tr>
        <w:tblPrEx>
          <w:shd w:val="clear" w:color="auto" w:fill="auto"/>
          <w:tblCellMar>
            <w:top w:w="0" w:type="dxa"/>
            <w:left w:w="108" w:type="dxa"/>
            <w:bottom w:w="0" w:type="dxa"/>
            <w:right w:w="108" w:type="dxa"/>
          </w:tblCellMar>
        </w:tblPrEx>
        <w:trPr>
          <w:trHeight w:val="270" w:hRule="atLeast"/>
        </w:trPr>
        <w:tc>
          <w:tcPr>
            <w:tcW w:w="4845" w:type="dxa"/>
            <w:gridSpan w:val="3"/>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color w:val="000000"/>
                <w:kern w:val="0"/>
                <w:sz w:val="20"/>
                <w:szCs w:val="20"/>
                <w:lang w:val="en-US" w:eastAsia="zh-CN" w:bidi="ar"/>
              </w:rPr>
              <w:t>部门：三门峡市创新发展中心</w:t>
            </w:r>
          </w:p>
        </w:tc>
        <w:tc>
          <w:tcPr>
            <w:tcW w:w="718" w:type="dxa"/>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2030" w:type="dxa"/>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color w:val="000000"/>
                <w:kern w:val="0"/>
                <w:sz w:val="22"/>
                <w:szCs w:val="22"/>
                <w:lang w:val="en-US"/>
              </w:rPr>
            </w:pPr>
            <w:r>
              <w:rPr>
                <w:rFonts w:hint="eastAsia" w:ascii="宋体" w:hAnsi="宋体" w:eastAsia="宋体" w:cs="Arial"/>
                <w:color w:val="000000"/>
                <w:kern w:val="0"/>
                <w:sz w:val="22"/>
                <w:szCs w:val="22"/>
                <w:lang w:val="en-US" w:eastAsia="zh-CN" w:bidi="ar"/>
              </w:rPr>
              <w:t>　</w:t>
            </w:r>
          </w:p>
        </w:tc>
        <w:tc>
          <w:tcPr>
            <w:tcW w:w="716" w:type="dxa"/>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840" w:type="dxa"/>
            <w:gridSpan w:val="2"/>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3830" w:type="dxa"/>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18"/>
                <w:szCs w:val="18"/>
                <w:lang w:val="en-US"/>
              </w:rPr>
            </w:pPr>
            <w:r>
              <w:rPr>
                <w:rFonts w:hint="eastAsia" w:ascii="宋体" w:hAnsi="宋体" w:eastAsia="宋体" w:cs="Arial"/>
                <w:kern w:val="0"/>
                <w:sz w:val="18"/>
                <w:szCs w:val="18"/>
                <w:lang w:val="en-US" w:eastAsia="zh-CN" w:bidi="ar"/>
              </w:rPr>
              <w:t>　</w:t>
            </w:r>
          </w:p>
        </w:tc>
        <w:tc>
          <w:tcPr>
            <w:tcW w:w="1034" w:type="dxa"/>
            <w:tcBorders>
              <w:top w:val="nil"/>
              <w:left w:val="nil"/>
              <w:bottom w:val="single" w:color="auto" w:sz="4" w:space="0"/>
              <w:right w:val="nil"/>
            </w:tcBorders>
            <w:shd w:val="clear" w:color="auto" w:fill="FFFFFF"/>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color w:val="000000"/>
                <w:kern w:val="0"/>
                <w:sz w:val="18"/>
                <w:szCs w:val="18"/>
                <w:lang w:val="en-US"/>
              </w:rPr>
            </w:pPr>
            <w:r>
              <w:rPr>
                <w:rFonts w:hint="eastAsia" w:ascii="宋体" w:hAnsi="宋体" w:eastAsia="宋体" w:cs="Arial"/>
                <w:color w:val="000000"/>
                <w:kern w:val="0"/>
                <w:sz w:val="18"/>
                <w:szCs w:val="18"/>
                <w:lang w:val="en-US" w:eastAsia="zh-CN" w:bidi="ar"/>
              </w:rPr>
              <w:t>单位：万元</w:t>
            </w:r>
          </w:p>
        </w:tc>
      </w:tr>
      <w:tr>
        <w:tblPrEx>
          <w:shd w:val="clear" w:color="auto" w:fill="auto"/>
          <w:tblCellMar>
            <w:top w:w="0" w:type="dxa"/>
            <w:left w:w="108" w:type="dxa"/>
            <w:bottom w:w="0" w:type="dxa"/>
            <w:right w:w="108" w:type="dxa"/>
          </w:tblCellMar>
        </w:tblPrEx>
        <w:trPr>
          <w:trHeight w:val="300" w:hRule="atLeast"/>
        </w:trPr>
        <w:tc>
          <w:tcPr>
            <w:tcW w:w="4845"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人员经费</w:t>
            </w:r>
          </w:p>
        </w:tc>
        <w:tc>
          <w:tcPr>
            <w:tcW w:w="9168" w:type="dxa"/>
            <w:gridSpan w:val="7"/>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公用经费</w:t>
            </w:r>
          </w:p>
        </w:tc>
      </w:tr>
      <w:tr>
        <w:tblPrEx>
          <w:shd w:val="clear" w:color="auto" w:fill="auto"/>
          <w:tblCellMar>
            <w:top w:w="0" w:type="dxa"/>
            <w:left w:w="108" w:type="dxa"/>
            <w:bottom w:w="0" w:type="dxa"/>
            <w:right w:w="108" w:type="dxa"/>
          </w:tblCellMar>
        </w:tblPrEx>
        <w:trPr>
          <w:trHeight w:val="312" w:hRule="atLeast"/>
        </w:trPr>
        <w:tc>
          <w:tcPr>
            <w:tcW w:w="86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科目编码</w:t>
            </w:r>
          </w:p>
        </w:tc>
        <w:tc>
          <w:tcPr>
            <w:tcW w:w="20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科目名称</w:t>
            </w:r>
          </w:p>
        </w:tc>
        <w:tc>
          <w:tcPr>
            <w:tcW w:w="193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决算数</w:t>
            </w:r>
          </w:p>
        </w:tc>
        <w:tc>
          <w:tcPr>
            <w:tcW w:w="718"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科目编码</w:t>
            </w:r>
          </w:p>
        </w:tc>
        <w:tc>
          <w:tcPr>
            <w:tcW w:w="203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科目名称</w:t>
            </w:r>
          </w:p>
        </w:tc>
        <w:tc>
          <w:tcPr>
            <w:tcW w:w="838"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决算数</w:t>
            </w:r>
          </w:p>
        </w:tc>
        <w:tc>
          <w:tcPr>
            <w:tcW w:w="718"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科目编码</w:t>
            </w:r>
          </w:p>
        </w:tc>
        <w:tc>
          <w:tcPr>
            <w:tcW w:w="383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科目名称</w:t>
            </w:r>
          </w:p>
        </w:tc>
        <w:tc>
          <w:tcPr>
            <w:tcW w:w="103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决算数</w:t>
            </w:r>
          </w:p>
        </w:tc>
      </w:tr>
      <w:tr>
        <w:tblPrEx>
          <w:shd w:val="clear" w:color="auto" w:fill="auto"/>
          <w:tblCellMar>
            <w:top w:w="0" w:type="dxa"/>
            <w:left w:w="108" w:type="dxa"/>
            <w:bottom w:w="0" w:type="dxa"/>
            <w:right w:w="108" w:type="dxa"/>
          </w:tblCellMar>
        </w:tblPrEx>
        <w:trPr>
          <w:trHeight w:val="312" w:hRule="atLeast"/>
        </w:trPr>
        <w:tc>
          <w:tcPr>
            <w:tcW w:w="860"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050"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93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2030"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838" w:type="dxa"/>
            <w:gridSpan w:val="2"/>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718"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3830"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c>
          <w:tcPr>
            <w:tcW w:w="1034"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eastAsia="Times New Roman" w:cs="Times New Roman"/>
                <w:sz w:val="20"/>
                <w:szCs w:val="20"/>
              </w:rPr>
            </w:pP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工资福利支出</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121.88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商品和服务支出</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4.48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307</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债务利息及费用支出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30101</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基本工资</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34.62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30201</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办公费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0.69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30701</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国内债务付息</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30102</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津贴补贴</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21.44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30202</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印刷费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0.10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30702</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国外债务付息</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30103</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奖金</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37.40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30203</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咨询费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资本性支出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30106</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伙食补助费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30204</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手续费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31001</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房屋建筑物购建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30107</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绩效工资</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7.42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30205</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水费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0.11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31002</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办公设备购置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30108</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机关事业单位基本养老保险缴费</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8.36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30206</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电费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0.55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31003</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专用设备购置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30109</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职业年金缴费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30207</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邮电费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31005</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基础设施建设</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30110</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职工基本医疗保险缴费</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3.94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30208</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取暖费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0.31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31006</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大型修缮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30111</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公务员医疗补助缴费</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2.19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30209</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物业管理费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31007</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信息网络及软件购置更新</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30112</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其他社会保障缴费</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0.21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30211</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差旅费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31008</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物资储备</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30113</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住房公积金</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6.30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30212</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因公出国（境）费用</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31009</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土地补偿</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30114</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医疗费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30213</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维修（护）费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31010</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安置补助</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30199</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其他工资福利支出</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30214</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租赁费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31011</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地上附着物和青苗补偿</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对个人和家庭的补助</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30215</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会议费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31012</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拆迁补偿</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30301</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离休费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30216</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培训费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0.19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31013</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公务用车购置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30302</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退休费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30217</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公务接待费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31019</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其他交通工具购置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30303</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退职（役）费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30218</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专用材料费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31021</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文物和陈列品购置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30304</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抚恤金</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30224</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被装购置费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31022</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无形资产购置</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30305</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生活补助</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30225</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专用燃料费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31099</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其他资本性支出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30306</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救济费</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30226</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劳务费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399</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其他支出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30307</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医疗费补助</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30227</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委托业务费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39906</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赠与</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30308</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助学金</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30228</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工会经费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0.61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39907</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国家赔偿费用支出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30309</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奖励金</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30229</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福利费</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1.28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39908</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对民间非营利组织和群众性自治组织补贴</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30310</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个人农业生产补贴</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30231</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公务用车运行维护费</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39999</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其他支出</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30399</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其他对个人和家庭的补助</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30239</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其他交通费用</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30240</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xml:space="preserve">  税金及附加费用</w:t>
            </w:r>
          </w:p>
        </w:tc>
        <w:tc>
          <w:tcPr>
            <w:tcW w:w="838" w:type="dxa"/>
            <w:gridSpan w:val="2"/>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8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205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1935" w:type="dxa"/>
            <w:tcBorders>
              <w:top w:val="nil"/>
              <w:left w:val="nil"/>
              <w:bottom w:val="single" w:color="000000" w:sz="4" w:space="0"/>
              <w:right w:val="single" w:color="000000" w:sz="4" w:space="0"/>
            </w:tcBorders>
            <w:shd w:val="clear" w:color="auto" w:fill="auto"/>
            <w:vAlign w:val="bottom"/>
          </w:tcPr>
          <w:p>
            <w:pPr>
              <w:rPr>
                <w:rFonts w:hint="eastAsia" w:ascii="宋体" w:hAnsi="宋体" w:eastAsia="宋体" w:cs="宋体"/>
                <w:kern w:val="0"/>
                <w:sz w:val="22"/>
                <w:szCs w:val="22"/>
                <w:lang w:val="en-US"/>
              </w:rPr>
            </w:pP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30299</w:t>
            </w:r>
          </w:p>
        </w:tc>
        <w:tc>
          <w:tcPr>
            <w:tcW w:w="20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其他商品和服务支出</w:t>
            </w:r>
          </w:p>
        </w:tc>
        <w:tc>
          <w:tcPr>
            <w:tcW w:w="838" w:type="dxa"/>
            <w:gridSpan w:val="2"/>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kern w:val="0"/>
                <w:sz w:val="22"/>
                <w:szCs w:val="22"/>
                <w:lang w:val="en-US"/>
              </w:rPr>
            </w:pPr>
            <w:r>
              <w:rPr>
                <w:rFonts w:hint="eastAsia" w:ascii="宋体" w:hAnsi="宋体" w:eastAsia="宋体" w:cs="宋体"/>
                <w:i w:val="0"/>
                <w:iCs w:val="0"/>
                <w:color w:val="000000"/>
                <w:kern w:val="0"/>
                <w:sz w:val="22"/>
                <w:szCs w:val="22"/>
                <w:u w:val="none"/>
                <w:lang w:val="en-US" w:eastAsia="zh-CN" w:bidi="ar"/>
              </w:rPr>
              <w:t xml:space="preserve">0.64 </w:t>
            </w:r>
          </w:p>
        </w:tc>
        <w:tc>
          <w:tcPr>
            <w:tcW w:w="71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383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　</w:t>
            </w:r>
          </w:p>
        </w:tc>
      </w:tr>
      <w:tr>
        <w:tblPrEx>
          <w:shd w:val="clear" w:color="auto" w:fill="auto"/>
          <w:tblCellMar>
            <w:top w:w="0" w:type="dxa"/>
            <w:left w:w="108" w:type="dxa"/>
            <w:bottom w:w="0" w:type="dxa"/>
            <w:right w:w="108" w:type="dxa"/>
          </w:tblCellMar>
        </w:tblPrEx>
        <w:trPr>
          <w:trHeight w:val="300" w:hRule="atLeast"/>
        </w:trPr>
        <w:tc>
          <w:tcPr>
            <w:tcW w:w="2910"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人员经费合计</w:t>
            </w:r>
          </w:p>
        </w:tc>
        <w:tc>
          <w:tcPr>
            <w:tcW w:w="1935" w:type="dxa"/>
            <w:tcBorders>
              <w:top w:val="nil"/>
              <w:left w:val="nil"/>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121.88 </w:t>
            </w:r>
          </w:p>
        </w:tc>
        <w:tc>
          <w:tcPr>
            <w:tcW w:w="8134" w:type="dxa"/>
            <w:gridSpan w:val="6"/>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公用经费合计</w:t>
            </w:r>
          </w:p>
        </w:tc>
        <w:tc>
          <w:tcPr>
            <w:tcW w:w="103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4.48</w:t>
            </w:r>
          </w:p>
        </w:tc>
      </w:tr>
      <w:tr>
        <w:tblPrEx>
          <w:shd w:val="clear" w:color="auto" w:fill="auto"/>
          <w:tblCellMar>
            <w:top w:w="0" w:type="dxa"/>
            <w:left w:w="108" w:type="dxa"/>
            <w:bottom w:w="0" w:type="dxa"/>
            <w:right w:w="108" w:type="dxa"/>
          </w:tblCellMar>
        </w:tblPrEx>
        <w:trPr>
          <w:trHeight w:val="300" w:hRule="atLeast"/>
        </w:trPr>
        <w:tc>
          <w:tcPr>
            <w:tcW w:w="14013" w:type="dxa"/>
            <w:gridSpan w:val="10"/>
            <w:shd w:val="clear" w:color="auto" w:fill="FFFFFF"/>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lang w:val="en-US"/>
              </w:rPr>
            </w:pPr>
            <w:r>
              <w:rPr>
                <w:rFonts w:hint="eastAsia" w:ascii="宋体" w:hAnsi="宋体" w:eastAsia="宋体" w:cs="Arial"/>
                <w:kern w:val="0"/>
                <w:sz w:val="20"/>
                <w:szCs w:val="20"/>
                <w:lang w:val="en-US" w:eastAsia="zh-CN" w:bidi="ar"/>
              </w:rPr>
              <w:t>注：本表反映部门本年度一般公共预算财政拨款基本支出明细情况。本表金额转换为万元时，因四舍五入可能存在尾差。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4"/>
        <w:tblW w:w="13807" w:type="dxa"/>
        <w:tblInd w:w="0" w:type="dxa"/>
        <w:tblLayout w:type="fixed"/>
        <w:tblCellMar>
          <w:top w:w="0" w:type="dxa"/>
          <w:left w:w="0" w:type="dxa"/>
          <w:bottom w:w="0" w:type="dxa"/>
          <w:right w:w="0" w:type="dxa"/>
        </w:tblCellMar>
      </w:tblPr>
      <w:tblGrid>
        <w:gridCol w:w="1151"/>
        <w:gridCol w:w="1149"/>
        <w:gridCol w:w="1150"/>
        <w:gridCol w:w="1150"/>
        <w:gridCol w:w="1151"/>
        <w:gridCol w:w="1150"/>
        <w:gridCol w:w="1151"/>
        <w:gridCol w:w="1151"/>
        <w:gridCol w:w="1151"/>
        <w:gridCol w:w="1151"/>
        <w:gridCol w:w="1151"/>
        <w:gridCol w:w="1151"/>
      </w:tblGrid>
      <w:tr>
        <w:tblPrEx>
          <w:tblCellMar>
            <w:top w:w="0" w:type="dxa"/>
            <w:left w:w="0" w:type="dxa"/>
            <w:bottom w:w="0" w:type="dxa"/>
            <w:right w:w="0" w:type="dxa"/>
          </w:tblCellMar>
        </w:tblPrEx>
        <w:trPr>
          <w:trHeight w:val="600" w:hRule="atLeast"/>
        </w:trPr>
        <w:tc>
          <w:tcPr>
            <w:tcW w:w="13807" w:type="dxa"/>
            <w:gridSpan w:val="12"/>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一般公共预算财政拨款“三公”经费支出决算表</w:t>
            </w:r>
          </w:p>
        </w:tc>
      </w:tr>
      <w:tr>
        <w:tblPrEx>
          <w:tblCellMar>
            <w:top w:w="0" w:type="dxa"/>
            <w:left w:w="0" w:type="dxa"/>
            <w:bottom w:w="0" w:type="dxa"/>
            <w:right w:w="0" w:type="dxa"/>
          </w:tblCellMar>
        </w:tblPrEx>
        <w:trPr>
          <w:trHeight w:val="222" w:hRule="atLeast"/>
        </w:trPr>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49"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公开07表</w:t>
            </w:r>
          </w:p>
        </w:tc>
      </w:tr>
      <w:tr>
        <w:tblPrEx>
          <w:tblCellMar>
            <w:top w:w="0" w:type="dxa"/>
            <w:left w:w="0" w:type="dxa"/>
            <w:bottom w:w="0" w:type="dxa"/>
            <w:right w:w="0" w:type="dxa"/>
          </w:tblCellMar>
        </w:tblPrEx>
        <w:trPr>
          <w:trHeight w:val="300" w:hRule="atLeast"/>
        </w:trPr>
        <w:tc>
          <w:tcPr>
            <w:tcW w:w="3450" w:type="dxa"/>
            <w:gridSpan w:val="3"/>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r>
              <w:rPr>
                <w:rFonts w:hint="eastAsia" w:ascii="宋体" w:hAnsi="宋体" w:cs="宋体"/>
                <w:color w:val="000000"/>
                <w:kern w:val="0"/>
                <w:sz w:val="20"/>
                <w:szCs w:val="20"/>
                <w:lang w:bidi="ar"/>
              </w:rPr>
              <w:t>部门：</w:t>
            </w:r>
            <w:r>
              <w:rPr>
                <w:rFonts w:hint="eastAsia" w:ascii="宋体" w:hAnsi="宋体" w:eastAsia="宋体" w:cs="Arial"/>
                <w:color w:val="000000"/>
                <w:kern w:val="0"/>
                <w:sz w:val="20"/>
                <w:szCs w:val="20"/>
                <w:lang w:val="en-US" w:eastAsia="zh-CN" w:bidi="ar"/>
              </w:rPr>
              <w:t>三门峡市创新发展中心</w:t>
            </w:r>
          </w:p>
        </w:tc>
        <w:tc>
          <w:tcPr>
            <w:tcW w:w="1150"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trHeight w:val="559" w:hRule="atLeast"/>
        </w:trPr>
        <w:tc>
          <w:tcPr>
            <w:tcW w:w="6901" w:type="dxa"/>
            <w:gridSpan w:val="6"/>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预算数</w:t>
            </w:r>
          </w:p>
        </w:tc>
        <w:tc>
          <w:tcPr>
            <w:tcW w:w="6906" w:type="dxa"/>
            <w:gridSpan w:val="6"/>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决算数</w:t>
            </w:r>
          </w:p>
        </w:tc>
      </w:tr>
      <w:tr>
        <w:tblPrEx>
          <w:tblCellMar>
            <w:top w:w="0" w:type="dxa"/>
            <w:left w:w="0" w:type="dxa"/>
            <w:bottom w:w="0" w:type="dxa"/>
            <w:right w:w="0" w:type="dxa"/>
          </w:tblCellMar>
        </w:tblPrEx>
        <w:trPr>
          <w:trHeight w:val="600" w:hRule="atLeast"/>
        </w:trPr>
        <w:tc>
          <w:tcPr>
            <w:tcW w:w="1151" w:type="dxa"/>
            <w:vMerge w:val="restart"/>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1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因公出国（境）费</w:t>
            </w:r>
          </w:p>
        </w:tc>
        <w:tc>
          <w:tcPr>
            <w:tcW w:w="345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115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公务接待费</w:t>
            </w:r>
          </w:p>
        </w:tc>
        <w:tc>
          <w:tcPr>
            <w:tcW w:w="1151" w:type="dxa"/>
            <w:vMerge w:val="restart"/>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15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因公出国（境）费</w:t>
            </w:r>
          </w:p>
        </w:tc>
        <w:tc>
          <w:tcPr>
            <w:tcW w:w="345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公务用车购置及运行费</w:t>
            </w:r>
          </w:p>
        </w:tc>
        <w:tc>
          <w:tcPr>
            <w:tcW w:w="1151" w:type="dxa"/>
            <w:vMerge w:val="restart"/>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公务接待费</w:t>
            </w:r>
          </w:p>
        </w:tc>
      </w:tr>
      <w:tr>
        <w:tblPrEx>
          <w:tblCellMar>
            <w:top w:w="0" w:type="dxa"/>
            <w:left w:w="0" w:type="dxa"/>
            <w:bottom w:w="0" w:type="dxa"/>
            <w:right w:w="0" w:type="dxa"/>
          </w:tblCellMar>
        </w:tblPrEx>
        <w:trPr>
          <w:trHeight w:val="600" w:hRule="atLeast"/>
        </w:trPr>
        <w:tc>
          <w:tcPr>
            <w:tcW w:w="1151" w:type="dxa"/>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150"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购置费</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运行费</w:t>
            </w:r>
          </w:p>
        </w:tc>
        <w:tc>
          <w:tcPr>
            <w:tcW w:w="115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vMerge w:val="continue"/>
            <w:tcBorders>
              <w:top w:val="single" w:color="000000" w:sz="4" w:space="0"/>
              <w:left w:val="nil"/>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购置费</w:t>
            </w:r>
          </w:p>
        </w:tc>
        <w:tc>
          <w:tcPr>
            <w:tcW w:w="1151"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公务用车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运行费</w:t>
            </w:r>
          </w:p>
        </w:tc>
        <w:tc>
          <w:tcPr>
            <w:tcW w:w="1151" w:type="dxa"/>
            <w:vMerge w:val="continue"/>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559" w:hRule="atLeast"/>
        </w:trPr>
        <w:tc>
          <w:tcPr>
            <w:tcW w:w="1151" w:type="dxa"/>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1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1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7</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8</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9</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10</w:t>
            </w:r>
          </w:p>
        </w:tc>
        <w:tc>
          <w:tcPr>
            <w:tcW w:w="11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11</w:t>
            </w:r>
          </w:p>
        </w:tc>
        <w:tc>
          <w:tcPr>
            <w:tcW w:w="1151"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12</w:t>
            </w:r>
          </w:p>
        </w:tc>
      </w:tr>
      <w:tr>
        <w:tblPrEx>
          <w:tblCellMar>
            <w:top w:w="0" w:type="dxa"/>
            <w:left w:w="0" w:type="dxa"/>
            <w:bottom w:w="0" w:type="dxa"/>
            <w:right w:w="0" w:type="dxa"/>
          </w:tblCellMar>
        </w:tblPrEx>
        <w:trPr>
          <w:trHeight w:val="855" w:hRule="atLeast"/>
        </w:trPr>
        <w:tc>
          <w:tcPr>
            <w:tcW w:w="1151" w:type="dxa"/>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49"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900" w:hRule="atLeast"/>
        </w:trPr>
        <w:tc>
          <w:tcPr>
            <w:tcW w:w="13807" w:type="dxa"/>
            <w:gridSpan w:val="12"/>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注：本表反映部门本年度“三公”经费支出预决算情况。其中，</w:t>
            </w:r>
            <w:r>
              <w:rPr>
                <w:rStyle w:val="10"/>
                <w:rFonts w:hint="default"/>
                <w:sz w:val="20"/>
                <w:szCs w:val="20"/>
                <w:lang w:bidi="ar"/>
              </w:rPr>
              <w:t>预算数为“三公”经费</w:t>
            </w:r>
            <w:r>
              <w:rPr>
                <w:rStyle w:val="10"/>
                <w:rFonts w:hint="eastAsia" w:eastAsia="宋体"/>
                <w:sz w:val="20"/>
                <w:szCs w:val="20"/>
                <w:lang w:eastAsia="zh-CN" w:bidi="ar"/>
              </w:rPr>
              <w:t>调整</w:t>
            </w:r>
            <w:r>
              <w:rPr>
                <w:rStyle w:val="10"/>
                <w:rFonts w:hint="default"/>
                <w:sz w:val="20"/>
                <w:szCs w:val="20"/>
                <w:lang w:bidi="ar"/>
              </w:rPr>
              <w:t>预算数，决算数是包括当年一般公共预算财政拨款和以前年度结转资金安排的实际支出。</w:t>
            </w:r>
            <w:r>
              <w:rPr>
                <w:rFonts w:hint="eastAsia" w:ascii="宋体" w:hAnsi="宋体" w:cs="宋体"/>
                <w:color w:val="000000"/>
                <w:kern w:val="0"/>
                <w:sz w:val="20"/>
                <w:szCs w:val="20"/>
                <w:lang w:bidi="ar"/>
              </w:rPr>
              <w:t>本表金额转换为万元时，因四舍五入可能存在尾差。</w:t>
            </w:r>
          </w:p>
        </w:tc>
      </w:tr>
    </w:tbl>
    <w:p>
      <w:pPr>
        <w:rPr>
          <w:rFonts w:hint="eastAsia" w:ascii="仿宋_GB2312" w:hAnsi="仿宋_GB2312" w:eastAsia="仿宋_GB2312" w:cs="仿宋_GB2312"/>
          <w:sz w:val="32"/>
          <w:szCs w:val="32"/>
        </w:rPr>
        <w:sectPr>
          <w:pgSz w:w="16838" w:h="11906" w:orient="landscape"/>
          <w:pgMar w:top="2098" w:right="1474" w:bottom="1984" w:left="1587" w:header="720" w:footer="720" w:gutter="0"/>
          <w:pgNumType w:fmt="numberInDash"/>
          <w:cols w:space="720" w:num="1"/>
          <w:docGrid w:type="lines" w:linePitch="312" w:charSpace="0"/>
        </w:sectPr>
      </w:pPr>
    </w:p>
    <w:tbl>
      <w:tblPr>
        <w:tblStyle w:val="4"/>
        <w:tblW w:w="13988" w:type="dxa"/>
        <w:tblInd w:w="0" w:type="dxa"/>
        <w:tblLayout w:type="fixed"/>
        <w:tblCellMar>
          <w:top w:w="0" w:type="dxa"/>
          <w:left w:w="0" w:type="dxa"/>
          <w:bottom w:w="0" w:type="dxa"/>
          <w:right w:w="0" w:type="dxa"/>
        </w:tblCellMar>
      </w:tblPr>
      <w:tblGrid>
        <w:gridCol w:w="612"/>
        <w:gridCol w:w="536"/>
        <w:gridCol w:w="1276"/>
        <w:gridCol w:w="1926"/>
        <w:gridCol w:w="1926"/>
        <w:gridCol w:w="1926"/>
        <w:gridCol w:w="1927"/>
        <w:gridCol w:w="1926"/>
        <w:gridCol w:w="1933"/>
      </w:tblGrid>
      <w:tr>
        <w:tblPrEx>
          <w:tblCellMar>
            <w:top w:w="0" w:type="dxa"/>
            <w:left w:w="0" w:type="dxa"/>
            <w:bottom w:w="0" w:type="dxa"/>
            <w:right w:w="0" w:type="dxa"/>
          </w:tblCellMar>
        </w:tblPrEx>
        <w:trPr>
          <w:trHeight w:val="600" w:hRule="atLeast"/>
        </w:trPr>
        <w:tc>
          <w:tcPr>
            <w:tcW w:w="13988" w:type="dxa"/>
            <w:gridSpan w:val="9"/>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tblPrEx>
          <w:tblCellMar>
            <w:top w:w="0" w:type="dxa"/>
            <w:left w:w="0" w:type="dxa"/>
            <w:bottom w:w="0" w:type="dxa"/>
            <w:right w:w="0" w:type="dxa"/>
          </w:tblCellMar>
        </w:tblPrEx>
        <w:trPr>
          <w:trHeight w:val="222" w:hRule="atLeast"/>
        </w:trPr>
        <w:tc>
          <w:tcPr>
            <w:tcW w:w="612"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53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公开08表</w:t>
            </w:r>
          </w:p>
        </w:tc>
      </w:tr>
      <w:tr>
        <w:tblPrEx>
          <w:tblCellMar>
            <w:top w:w="0" w:type="dxa"/>
            <w:left w:w="0" w:type="dxa"/>
            <w:bottom w:w="0" w:type="dxa"/>
            <w:right w:w="0" w:type="dxa"/>
          </w:tblCellMar>
        </w:tblPrEx>
        <w:trPr>
          <w:trHeight w:val="300" w:hRule="atLeast"/>
        </w:trPr>
        <w:tc>
          <w:tcPr>
            <w:tcW w:w="4350" w:type="dxa"/>
            <w:gridSpan w:val="4"/>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r>
              <w:rPr>
                <w:rFonts w:hint="eastAsia" w:ascii="宋体" w:hAnsi="宋体" w:cs="宋体"/>
                <w:color w:val="000000"/>
                <w:kern w:val="0"/>
                <w:sz w:val="20"/>
                <w:szCs w:val="20"/>
                <w:lang w:bidi="ar"/>
              </w:rPr>
              <w:t>部门：</w:t>
            </w:r>
            <w:r>
              <w:rPr>
                <w:rFonts w:hint="eastAsia" w:ascii="宋体" w:hAnsi="宋体" w:eastAsia="宋体" w:cs="Arial"/>
                <w:color w:val="000000"/>
                <w:kern w:val="0"/>
                <w:sz w:val="20"/>
                <w:szCs w:val="20"/>
                <w:lang w:val="en-US" w:eastAsia="zh-CN" w:bidi="ar"/>
              </w:rPr>
              <w:t>三门峡市创新发展中心</w:t>
            </w:r>
          </w:p>
        </w:tc>
        <w:tc>
          <w:tcPr>
            <w:tcW w:w="1926"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nil"/>
              <w:left w:val="nil"/>
              <w:bottom w:val="single" w:color="000000" w:sz="8" w:space="0"/>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nil"/>
              <w:left w:val="nil"/>
              <w:bottom w:val="nil"/>
              <w:right w:val="nil"/>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单位：万元</w:t>
            </w:r>
          </w:p>
        </w:tc>
      </w:tr>
      <w:tr>
        <w:tblPrEx>
          <w:tblCellMar>
            <w:top w:w="0" w:type="dxa"/>
            <w:left w:w="0" w:type="dxa"/>
            <w:bottom w:w="0" w:type="dxa"/>
            <w:right w:w="0" w:type="dxa"/>
          </w:tblCellMar>
        </w:tblPrEx>
        <w:trPr>
          <w:trHeight w:val="405" w:hRule="atLeast"/>
        </w:trPr>
        <w:tc>
          <w:tcPr>
            <w:tcW w:w="2424" w:type="dxa"/>
            <w:gridSpan w:val="3"/>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    目</w:t>
            </w:r>
          </w:p>
        </w:tc>
        <w:tc>
          <w:tcPr>
            <w:tcW w:w="1926" w:type="dxa"/>
            <w:vMerge w:val="restart"/>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年初结转和结余</w:t>
            </w:r>
          </w:p>
        </w:tc>
        <w:tc>
          <w:tcPr>
            <w:tcW w:w="1926"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本年收入</w:t>
            </w:r>
          </w:p>
        </w:tc>
        <w:tc>
          <w:tcPr>
            <w:tcW w:w="5779" w:type="dxa"/>
            <w:gridSpan w:val="3"/>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本年支出</w:t>
            </w:r>
          </w:p>
        </w:tc>
        <w:tc>
          <w:tcPr>
            <w:tcW w:w="1933" w:type="dxa"/>
            <w:vMerge w:val="restart"/>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年末结转和结余</w:t>
            </w:r>
          </w:p>
        </w:tc>
      </w:tr>
      <w:tr>
        <w:tblPrEx>
          <w:tblCellMar>
            <w:top w:w="0" w:type="dxa"/>
            <w:left w:w="0" w:type="dxa"/>
            <w:bottom w:w="0" w:type="dxa"/>
            <w:right w:w="0" w:type="dxa"/>
          </w:tblCellMar>
        </w:tblPrEx>
        <w:trPr>
          <w:trHeight w:val="540" w:hRule="atLeast"/>
        </w:trPr>
        <w:tc>
          <w:tcPr>
            <w:tcW w:w="1148" w:type="dxa"/>
            <w:gridSpan w:val="2"/>
            <w:vMerge w:val="restart"/>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功能分类</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科目编码</w:t>
            </w:r>
          </w:p>
        </w:tc>
        <w:tc>
          <w:tcPr>
            <w:tcW w:w="127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科目名称</w:t>
            </w: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小计</w:t>
            </w:r>
          </w:p>
        </w:tc>
        <w:tc>
          <w:tcPr>
            <w:tcW w:w="1927" w:type="dxa"/>
            <w:vMerge w:val="restart"/>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基本支出</w:t>
            </w:r>
          </w:p>
        </w:tc>
        <w:tc>
          <w:tcPr>
            <w:tcW w:w="1926" w:type="dxa"/>
            <w:vMerge w:val="restart"/>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项目支出</w:t>
            </w: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36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vMerge w:val="continue"/>
            <w:tcBorders>
              <w:top w:val="nil"/>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vMerge w:val="continue"/>
            <w:tcBorders>
              <w:top w:val="nil"/>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2424" w:type="dxa"/>
            <w:gridSpan w:val="3"/>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栏次</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1</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2</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3</w:t>
            </w: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4</w:t>
            </w: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5</w:t>
            </w: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6</w:t>
            </w:r>
          </w:p>
        </w:tc>
      </w:tr>
      <w:tr>
        <w:tblPrEx>
          <w:tblCellMar>
            <w:top w:w="0" w:type="dxa"/>
            <w:left w:w="0" w:type="dxa"/>
            <w:bottom w:w="0" w:type="dxa"/>
            <w:right w:w="0" w:type="dxa"/>
          </w:tblCellMar>
        </w:tblPrEx>
        <w:trPr>
          <w:trHeight w:val="450" w:hRule="atLeast"/>
        </w:trPr>
        <w:tc>
          <w:tcPr>
            <w:tcW w:w="2424" w:type="dxa"/>
            <w:gridSpan w:val="3"/>
            <w:tcBorders>
              <w:top w:val="nil"/>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合计</w:t>
            </w: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450" w:hRule="atLeast"/>
        </w:trPr>
        <w:tc>
          <w:tcPr>
            <w:tcW w:w="1148" w:type="dxa"/>
            <w:gridSpan w:val="2"/>
            <w:tcBorders>
              <w:top w:val="single" w:color="000000" w:sz="4"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nil"/>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c>
          <w:tcPr>
            <w:tcW w:w="1933"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13988" w:type="dxa"/>
            <w:gridSpan w:val="9"/>
            <w:tcBorders>
              <w:top w:val="single" w:color="000000" w:sz="8" w:space="0"/>
              <w:left w:val="nil"/>
              <w:bottom w:val="nil"/>
              <w:right w:val="nil"/>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cs="宋体"/>
                <w:color w:val="000000"/>
                <w:sz w:val="20"/>
                <w:szCs w:val="20"/>
              </w:rPr>
            </w:pPr>
            <w:r>
              <w:rPr>
                <w:rFonts w:hint="eastAsia" w:ascii="宋体" w:hAnsi="宋体" w:cs="宋体"/>
                <w:color w:val="000000"/>
                <w:kern w:val="0"/>
                <w:sz w:val="20"/>
                <w:szCs w:val="20"/>
                <w:lang w:bidi="ar"/>
              </w:rPr>
              <w:t>注：本表反映部门本年度政府性基金预算财政拨款收入、支出及结转和结余情况。</w:t>
            </w:r>
          </w:p>
        </w:tc>
      </w:tr>
    </w:tbl>
    <w:p>
      <w:pPr>
        <w:jc w:val="both"/>
        <w:rPr>
          <w:rFonts w:hint="eastAsia" w:ascii="仿宋_GB2312" w:hAnsi="仿宋_GB2312" w:eastAsia="仿宋_GB2312" w:cs="仿宋_GB2312"/>
          <w:sz w:val="24"/>
          <w:szCs w:val="24"/>
          <w:highlight w:val="none"/>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sz w:val="24"/>
          <w:szCs w:val="24"/>
          <w:highlight w:val="none"/>
        </w:rPr>
        <w:t>说明：我部门没有政府性基金收入，也没有使用政府性基金安排的支出，故本表无数据。</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 xml:space="preserve">第三部分  </w:t>
      </w:r>
      <w:r>
        <w:rPr>
          <w:rFonts w:hint="eastAsia" w:ascii="黑体" w:hAnsi="黑体" w:eastAsia="黑体" w:cs="黑体"/>
          <w:sz w:val="48"/>
          <w:szCs w:val="48"/>
          <w:lang w:eastAsia="zh-CN"/>
        </w:rPr>
        <w:t>2021年</w:t>
      </w:r>
      <w:r>
        <w:rPr>
          <w:rFonts w:hint="eastAsia" w:ascii="黑体" w:hAnsi="黑体" w:eastAsia="黑体" w:cs="黑体"/>
          <w:sz w:val="48"/>
          <w:szCs w:val="48"/>
        </w:rPr>
        <w:t>度部门决算情况说明</w:t>
      </w:r>
    </w:p>
    <w:p>
      <w:pPr>
        <w:widowControl/>
        <w:jc w:val="left"/>
        <w:rPr>
          <w:rFonts w:hint="eastAsia" w:ascii="黑体" w:hAnsi="黑体" w:eastAsia="黑体" w:cs="黑体"/>
          <w:sz w:val="48"/>
          <w:szCs w:val="48"/>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rPr>
        <w:t>一、收入支出决算总体情况说明</w:t>
      </w:r>
    </w:p>
    <w:p>
      <w:pPr>
        <w:widowControl/>
        <w:spacing w:line="590" w:lineRule="exact"/>
        <w:ind w:firstLine="640" w:firstLineChars="200"/>
        <w:rPr>
          <w:rFonts w:hint="default" w:ascii="黑体" w:hAnsi="黑体" w:eastAsia="仿宋_GB2312" w:cs="黑体"/>
          <w:sz w:val="32"/>
          <w:szCs w:val="32"/>
          <w:highlight w:val="none"/>
          <w:lang w:val="en-US" w:eastAsia="zh-CN"/>
        </w:rPr>
      </w:pP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度收、支总计均为</w:t>
      </w:r>
      <w:r>
        <w:rPr>
          <w:rFonts w:hint="eastAsia" w:ascii="仿宋_GB2312" w:hAnsi="仿宋_GB2312" w:eastAsia="仿宋_GB2312" w:cs="仿宋_GB2312"/>
          <w:sz w:val="32"/>
          <w:szCs w:val="32"/>
          <w:highlight w:val="none"/>
          <w:lang w:val="en-US" w:eastAsia="zh-CN"/>
        </w:rPr>
        <w:t>126.36</w:t>
      </w:r>
      <w:r>
        <w:rPr>
          <w:rFonts w:hint="eastAsia" w:ascii="仿宋_GB2312" w:hAnsi="仿宋_GB2312" w:eastAsia="仿宋_GB2312" w:cs="仿宋_GB2312"/>
          <w:sz w:val="32"/>
          <w:szCs w:val="32"/>
          <w:highlight w:val="none"/>
        </w:rPr>
        <w:t>万元。与上年度相比，收、支总计各</w:t>
      </w:r>
      <w:r>
        <w:rPr>
          <w:rFonts w:hint="eastAsia" w:ascii="仿宋_GB2312" w:hAnsi="仿宋_GB2312" w:eastAsia="仿宋_GB2312" w:cs="仿宋_GB2312"/>
          <w:sz w:val="32"/>
          <w:szCs w:val="32"/>
          <w:highlight w:val="none"/>
          <w:lang w:val="en-US" w:eastAsia="zh-CN"/>
        </w:rPr>
        <w:t>减少1033.01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减少89.1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2020年财政出资设立的“科技贷”风险补偿金共1000万元，按要求放在本单位账户下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另外33.01万元则由于人员调整造成。</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二、收入决算情况说明</w:t>
      </w:r>
    </w:p>
    <w:p>
      <w:pPr>
        <w:widowControl/>
        <w:spacing w:line="59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度收入合计</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度支出合计</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度财政拨款收、支总计均为</w:t>
      </w: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highlight w:val="none"/>
          <w:lang w:val="en-US" w:eastAsia="zh-CN"/>
        </w:rPr>
        <w:t>36</w:t>
      </w:r>
      <w:r>
        <w:rPr>
          <w:rFonts w:hint="eastAsia" w:ascii="仿宋_GB2312" w:hAnsi="仿宋_GB2312" w:eastAsia="仿宋_GB2312" w:cs="仿宋_GB2312"/>
          <w:sz w:val="32"/>
          <w:szCs w:val="32"/>
          <w:highlight w:val="none"/>
        </w:rPr>
        <w:t>万元。与上年度相比，财政拨款</w:t>
      </w:r>
      <w:r>
        <w:rPr>
          <w:rFonts w:hint="eastAsia" w:ascii="仿宋_GB2312" w:hAnsi="仿宋_GB2312" w:eastAsia="仿宋_GB2312" w:cs="仿宋_GB2312"/>
          <w:sz w:val="32"/>
          <w:szCs w:val="32"/>
          <w:highlight w:val="none"/>
        </w:rPr>
        <w:t>收、支总计各</w:t>
      </w:r>
      <w:r>
        <w:rPr>
          <w:rFonts w:hint="eastAsia" w:ascii="仿宋_GB2312" w:hAnsi="仿宋_GB2312" w:eastAsia="仿宋_GB2312" w:cs="仿宋_GB2312"/>
          <w:sz w:val="32"/>
          <w:szCs w:val="32"/>
          <w:highlight w:val="none"/>
          <w:lang w:val="en-US" w:eastAsia="zh-CN"/>
        </w:rPr>
        <w:t>减少1033.01</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减少89.1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2020年财政出资设立的“科技贷”风险补偿金共1000万元，按要求放在本单位账户下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另外33.01万元则由于人员调整造成。</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（一）总体情况。</w:t>
      </w:r>
    </w:p>
    <w:p>
      <w:pPr>
        <w:widowControl/>
        <w:spacing w:line="59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度一般公共预算财政拨款支出</w:t>
      </w:r>
      <w:r>
        <w:rPr>
          <w:rFonts w:hint="eastAsia" w:ascii="仿宋_GB2312" w:hAnsi="仿宋_GB2312" w:eastAsia="仿宋_GB2312" w:cs="仿宋_GB2312"/>
          <w:sz w:val="32"/>
          <w:szCs w:val="32"/>
          <w:highlight w:val="none"/>
          <w:lang w:val="en-US" w:eastAsia="zh-CN"/>
        </w:rPr>
        <w:t>126.36</w:t>
      </w:r>
      <w:r>
        <w:rPr>
          <w:rFonts w:hint="eastAsia" w:ascii="仿宋_GB2312" w:hAnsi="仿宋_GB2312" w:eastAsia="仿宋_GB2312" w:cs="仿宋_GB2312"/>
          <w:sz w:val="32"/>
          <w:szCs w:val="32"/>
          <w:highlight w:val="none"/>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%。与上年度相比，一般公共预算财政拨款支出减少</w:t>
      </w:r>
      <w:r>
        <w:rPr>
          <w:rFonts w:hint="eastAsia" w:ascii="仿宋_GB2312" w:hAnsi="仿宋_GB2312" w:eastAsia="仿宋_GB2312" w:cs="仿宋_GB2312"/>
          <w:sz w:val="32"/>
          <w:szCs w:val="32"/>
          <w:highlight w:val="none"/>
          <w:lang w:val="en-US" w:eastAsia="zh-CN"/>
        </w:rPr>
        <w:t>1033.01</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89.1</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2020年，财政出资设立的“科技贷”风险补偿金共1000万元，按要求放在本单位账户下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另外33.01万元则由于人员调整造成。</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（二）结构情况。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度一般公共预算财政拨款支出</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万元，主要用于以下方面：科学技术（类）支出</w:t>
      </w:r>
      <w:r>
        <w:rPr>
          <w:rFonts w:hint="eastAsia" w:ascii="仿宋_GB2312" w:hAnsi="仿宋_GB2312" w:eastAsia="仿宋_GB2312" w:cs="仿宋_GB2312"/>
          <w:sz w:val="32"/>
          <w:szCs w:val="32"/>
          <w:lang w:val="en-US" w:eastAsia="zh-CN"/>
        </w:rPr>
        <w:t>105.56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83.54</w:t>
      </w:r>
      <w:r>
        <w:rPr>
          <w:rFonts w:hint="eastAsia" w:ascii="仿宋_GB2312" w:hAnsi="仿宋_GB2312" w:eastAsia="仿宋_GB2312" w:cs="仿宋_GB2312"/>
          <w:sz w:val="32"/>
          <w:szCs w:val="32"/>
        </w:rPr>
        <w:t xml:space="preserve">%；社会保障和就业支出（类）支出 </w:t>
      </w:r>
      <w:r>
        <w:rPr>
          <w:rFonts w:hint="eastAsia" w:ascii="仿宋_GB2312" w:hAnsi="仿宋_GB2312" w:eastAsia="仿宋_GB2312" w:cs="仿宋_GB2312"/>
          <w:sz w:val="32"/>
          <w:szCs w:val="32"/>
          <w:lang w:val="en-US" w:eastAsia="zh-CN"/>
        </w:rPr>
        <w:t>8.36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6.62</w:t>
      </w:r>
      <w:r>
        <w:rPr>
          <w:rFonts w:hint="eastAsia" w:ascii="仿宋_GB2312" w:hAnsi="仿宋_GB2312" w:eastAsia="仿宋_GB2312" w:cs="仿宋_GB2312"/>
          <w:sz w:val="32"/>
          <w:szCs w:val="32"/>
        </w:rPr>
        <w:t xml:space="preserve">%；卫生健康（类）支出 </w:t>
      </w:r>
      <w:r>
        <w:rPr>
          <w:rFonts w:hint="eastAsia" w:ascii="仿宋_GB2312" w:hAnsi="仿宋_GB2312" w:eastAsia="仿宋_GB2312" w:cs="仿宋_GB2312"/>
          <w:sz w:val="32"/>
          <w:szCs w:val="32"/>
          <w:lang w:val="en-US" w:eastAsia="zh-CN"/>
        </w:rPr>
        <w:t>6.14</w:t>
      </w:r>
      <w:r>
        <w:rPr>
          <w:rFonts w:hint="eastAsia" w:ascii="仿宋_GB2312" w:hAnsi="仿宋_GB2312" w:eastAsia="仿宋_GB2312" w:cs="仿宋_GB2312"/>
          <w:sz w:val="32"/>
          <w:szCs w:val="32"/>
        </w:rPr>
        <w:t xml:space="preserve"> 万元，占</w:t>
      </w:r>
      <w:r>
        <w:rPr>
          <w:rFonts w:hint="eastAsia" w:ascii="仿宋_GB2312" w:hAnsi="仿宋_GB2312" w:eastAsia="仿宋_GB2312" w:cs="仿宋_GB2312"/>
          <w:sz w:val="32"/>
          <w:szCs w:val="32"/>
          <w:lang w:val="en-US" w:eastAsia="zh-CN"/>
        </w:rPr>
        <w:t>4.86</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4.99</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（三）具体情况。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度一般公共预算财政拨款支出年初预算为</w:t>
      </w:r>
      <w:r>
        <w:rPr>
          <w:rFonts w:hint="eastAsia" w:ascii="仿宋_GB2312" w:hAnsi="仿宋_GB2312" w:eastAsia="仿宋_GB2312" w:cs="仿宋_GB2312"/>
          <w:sz w:val="32"/>
          <w:szCs w:val="32"/>
          <w:lang w:val="en-US" w:eastAsia="zh-CN"/>
        </w:rPr>
        <w:t>112.02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126.36</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112.80</w:t>
      </w:r>
      <w:r>
        <w:rPr>
          <w:rFonts w:hint="eastAsia" w:ascii="仿宋_GB2312" w:hAnsi="仿宋_GB2312" w:eastAsia="仿宋_GB2312" w:cs="仿宋_GB2312"/>
          <w:sz w:val="32"/>
          <w:szCs w:val="32"/>
        </w:rPr>
        <w:t>%。其中：</w:t>
      </w:r>
    </w:p>
    <w:p>
      <w:pPr>
        <w:widowControl/>
        <w:spacing w:line="590" w:lineRule="exact"/>
        <w:ind w:firstLine="643"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1．科学技术支出（类）基础研究（款）机构运行（项）。</w:t>
      </w:r>
      <w:r>
        <w:rPr>
          <w:rFonts w:hint="eastAsia" w:ascii="仿宋_GB2312" w:hAnsi="仿宋_GB2312" w:eastAsia="仿宋_GB2312" w:cs="仿宋_GB2312"/>
          <w:sz w:val="32"/>
          <w:szCs w:val="32"/>
          <w:lang w:val="en-US" w:eastAsia="zh-CN"/>
        </w:rPr>
        <w:t>年初预算为 91.46万元，支出决算为105.56万元，完成年初预算的115.42%。决算数与年初预算数存在差异的主要原因是单位人员调整及工资基数调整。</w:t>
      </w:r>
    </w:p>
    <w:p>
      <w:pPr>
        <w:widowControl/>
        <w:spacing w:line="590" w:lineRule="exact"/>
        <w:ind w:firstLine="643" w:firstLineChars="200"/>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rPr>
        <w:t>2．社会保障和就业支出（类）行政事业单位养老支出（款）机关事业单位基本养老保险缴费支出（项）。</w:t>
      </w:r>
      <w:r>
        <w:rPr>
          <w:rFonts w:hint="eastAsia" w:ascii="仿宋_GB2312" w:hAnsi="仿宋_GB2312" w:eastAsia="仿宋_GB2312" w:cs="仿宋_GB2312"/>
          <w:b w:val="0"/>
          <w:bCs w:val="0"/>
          <w:sz w:val="32"/>
          <w:szCs w:val="32"/>
        </w:rPr>
        <w:t>年初预算为</w:t>
      </w:r>
      <w:r>
        <w:rPr>
          <w:rFonts w:hint="eastAsia" w:ascii="仿宋_GB2312" w:hAnsi="仿宋_GB2312" w:eastAsia="仿宋_GB2312" w:cs="仿宋_GB2312"/>
          <w:b w:val="0"/>
          <w:bCs w:val="0"/>
          <w:sz w:val="32"/>
          <w:szCs w:val="32"/>
          <w:lang w:val="en-US" w:eastAsia="zh-CN"/>
        </w:rPr>
        <w:t>8.17</w:t>
      </w:r>
      <w:r>
        <w:rPr>
          <w:rFonts w:hint="eastAsia" w:ascii="仿宋_GB2312" w:hAnsi="仿宋_GB2312" w:eastAsia="仿宋_GB2312" w:cs="仿宋_GB2312"/>
          <w:b w:val="0"/>
          <w:bCs w:val="0"/>
          <w:sz w:val="32"/>
          <w:szCs w:val="32"/>
        </w:rPr>
        <w:t>万元，支出决算为</w:t>
      </w:r>
      <w:r>
        <w:rPr>
          <w:rFonts w:hint="eastAsia" w:ascii="仿宋_GB2312" w:hAnsi="仿宋_GB2312" w:eastAsia="仿宋_GB2312" w:cs="仿宋_GB2312"/>
          <w:b w:val="0"/>
          <w:bCs w:val="0"/>
          <w:sz w:val="32"/>
          <w:szCs w:val="32"/>
          <w:lang w:val="en-US" w:eastAsia="zh-CN"/>
        </w:rPr>
        <w:t>8.36</w:t>
      </w:r>
      <w:r>
        <w:rPr>
          <w:rFonts w:hint="eastAsia" w:ascii="仿宋_GB2312" w:hAnsi="仿宋_GB2312" w:eastAsia="仿宋_GB2312" w:cs="仿宋_GB2312"/>
          <w:b w:val="0"/>
          <w:bCs w:val="0"/>
          <w:sz w:val="32"/>
          <w:szCs w:val="32"/>
        </w:rPr>
        <w:t>万元，完成年初预算的</w:t>
      </w:r>
      <w:r>
        <w:rPr>
          <w:rFonts w:hint="eastAsia" w:ascii="仿宋_GB2312" w:hAnsi="仿宋_GB2312" w:eastAsia="仿宋_GB2312" w:cs="仿宋_GB2312"/>
          <w:b w:val="0"/>
          <w:bCs w:val="0"/>
          <w:sz w:val="32"/>
          <w:szCs w:val="32"/>
          <w:lang w:val="en-US" w:eastAsia="zh-CN"/>
        </w:rPr>
        <w:t>102.33</w:t>
      </w:r>
      <w:r>
        <w:rPr>
          <w:rFonts w:hint="eastAsia" w:ascii="仿宋_GB2312" w:hAnsi="仿宋_GB2312" w:eastAsia="仿宋_GB2312" w:cs="仿宋_GB2312"/>
          <w:b w:val="0"/>
          <w:bCs w:val="0"/>
          <w:sz w:val="32"/>
          <w:szCs w:val="32"/>
        </w:rPr>
        <w:t>%。决算数与年初预算数存在差异的主要原因是</w:t>
      </w:r>
      <w:r>
        <w:rPr>
          <w:rFonts w:hint="eastAsia" w:ascii="仿宋_GB2312" w:hAnsi="仿宋_GB2312" w:eastAsia="仿宋_GB2312" w:cs="仿宋_GB2312"/>
          <w:sz w:val="32"/>
          <w:szCs w:val="32"/>
          <w:lang w:val="en-US" w:eastAsia="zh-CN"/>
        </w:rPr>
        <w:t>单位人员调整及工资基数调整.</w:t>
      </w:r>
    </w:p>
    <w:p>
      <w:pPr>
        <w:widowControl/>
        <w:spacing w:line="590" w:lineRule="exact"/>
        <w:ind w:firstLine="643" w:firstLineChars="200"/>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．卫生健康支出（类）行政事业单位医疗（款）事业单位医疗（项）。</w:t>
      </w:r>
      <w:r>
        <w:rPr>
          <w:rFonts w:hint="eastAsia" w:ascii="仿宋_GB2312" w:hAnsi="仿宋_GB2312" w:eastAsia="仿宋_GB2312" w:cs="仿宋_GB2312"/>
          <w:b w:val="0"/>
          <w:bCs w:val="0"/>
          <w:sz w:val="32"/>
          <w:szCs w:val="32"/>
        </w:rPr>
        <w:t>年初预算为</w:t>
      </w:r>
      <w:r>
        <w:rPr>
          <w:rFonts w:hint="eastAsia" w:ascii="仿宋_GB2312" w:hAnsi="仿宋_GB2312" w:eastAsia="仿宋_GB2312" w:cs="仿宋_GB2312"/>
          <w:b w:val="0"/>
          <w:bCs w:val="0"/>
          <w:sz w:val="32"/>
          <w:szCs w:val="32"/>
          <w:lang w:val="en-US" w:eastAsia="zh-CN"/>
        </w:rPr>
        <w:t>6.25</w:t>
      </w:r>
      <w:r>
        <w:rPr>
          <w:rFonts w:hint="eastAsia" w:ascii="仿宋_GB2312" w:hAnsi="仿宋_GB2312" w:eastAsia="仿宋_GB2312" w:cs="仿宋_GB2312"/>
          <w:b w:val="0"/>
          <w:bCs w:val="0"/>
          <w:sz w:val="32"/>
          <w:szCs w:val="32"/>
        </w:rPr>
        <w:t>万元，支出决算为</w:t>
      </w:r>
      <w:r>
        <w:rPr>
          <w:rFonts w:hint="eastAsia" w:ascii="仿宋_GB2312" w:hAnsi="仿宋_GB2312" w:eastAsia="仿宋_GB2312" w:cs="仿宋_GB2312"/>
          <w:b w:val="0"/>
          <w:bCs w:val="0"/>
          <w:sz w:val="32"/>
          <w:szCs w:val="32"/>
          <w:lang w:val="en-US" w:eastAsia="zh-CN"/>
        </w:rPr>
        <w:t>6.14</w:t>
      </w:r>
      <w:r>
        <w:rPr>
          <w:rFonts w:hint="eastAsia" w:ascii="仿宋_GB2312" w:hAnsi="仿宋_GB2312" w:eastAsia="仿宋_GB2312" w:cs="仿宋_GB2312"/>
          <w:b w:val="0"/>
          <w:bCs w:val="0"/>
          <w:sz w:val="32"/>
          <w:szCs w:val="32"/>
        </w:rPr>
        <w:t>万元，完成年初预算的</w:t>
      </w:r>
      <w:r>
        <w:rPr>
          <w:rFonts w:hint="eastAsia" w:ascii="仿宋_GB2312" w:hAnsi="仿宋_GB2312" w:eastAsia="仿宋_GB2312" w:cs="仿宋_GB2312"/>
          <w:b w:val="0"/>
          <w:bCs w:val="0"/>
          <w:sz w:val="32"/>
          <w:szCs w:val="32"/>
          <w:lang w:val="en-US" w:eastAsia="zh-CN"/>
        </w:rPr>
        <w:t>98.24</w:t>
      </w:r>
      <w:r>
        <w:rPr>
          <w:rFonts w:hint="eastAsia" w:ascii="仿宋_GB2312" w:hAnsi="仿宋_GB2312" w:eastAsia="仿宋_GB2312" w:cs="仿宋_GB2312"/>
          <w:b w:val="0"/>
          <w:bCs w:val="0"/>
          <w:sz w:val="32"/>
          <w:szCs w:val="32"/>
        </w:rPr>
        <w:t>%。决算数与年初预算数存在差异的主要原因是</w:t>
      </w:r>
      <w:r>
        <w:rPr>
          <w:rFonts w:hint="eastAsia" w:ascii="仿宋_GB2312" w:hAnsi="仿宋_GB2312" w:eastAsia="仿宋_GB2312" w:cs="仿宋_GB2312"/>
          <w:sz w:val="32"/>
          <w:szCs w:val="32"/>
          <w:lang w:val="en-US" w:eastAsia="zh-CN"/>
        </w:rPr>
        <w:t>单位人员调整及工资基数调整。</w:t>
      </w:r>
    </w:p>
    <w:p>
      <w:pPr>
        <w:widowControl/>
        <w:spacing w:line="590" w:lineRule="exact"/>
        <w:ind w:firstLine="643" w:firstLineChars="200"/>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．住房保障支出（类）住房改革支出（款）机关事业住房公积金（项）。</w:t>
      </w:r>
      <w:r>
        <w:rPr>
          <w:rFonts w:hint="eastAsia" w:ascii="仿宋_GB2312" w:hAnsi="仿宋_GB2312" w:eastAsia="仿宋_GB2312" w:cs="仿宋_GB2312"/>
          <w:b w:val="0"/>
          <w:bCs w:val="0"/>
          <w:sz w:val="32"/>
          <w:szCs w:val="32"/>
        </w:rPr>
        <w:t>年初预算为</w:t>
      </w:r>
      <w:r>
        <w:rPr>
          <w:rFonts w:hint="eastAsia" w:ascii="仿宋_GB2312" w:hAnsi="仿宋_GB2312" w:eastAsia="仿宋_GB2312" w:cs="仿宋_GB2312"/>
          <w:b w:val="0"/>
          <w:bCs w:val="0"/>
          <w:sz w:val="32"/>
          <w:szCs w:val="32"/>
          <w:lang w:val="en-US" w:eastAsia="zh-CN"/>
        </w:rPr>
        <w:t>6.13</w:t>
      </w:r>
      <w:r>
        <w:rPr>
          <w:rFonts w:hint="eastAsia" w:ascii="仿宋_GB2312" w:hAnsi="仿宋_GB2312" w:eastAsia="仿宋_GB2312" w:cs="仿宋_GB2312"/>
          <w:b w:val="0"/>
          <w:bCs w:val="0"/>
          <w:sz w:val="32"/>
          <w:szCs w:val="32"/>
        </w:rPr>
        <w:t>万元，支出决算为</w:t>
      </w:r>
      <w:r>
        <w:rPr>
          <w:rFonts w:hint="eastAsia" w:ascii="仿宋_GB2312" w:hAnsi="仿宋_GB2312" w:eastAsia="仿宋_GB2312" w:cs="仿宋_GB2312"/>
          <w:b w:val="0"/>
          <w:bCs w:val="0"/>
          <w:sz w:val="32"/>
          <w:szCs w:val="32"/>
          <w:lang w:val="en-US" w:eastAsia="zh-CN"/>
        </w:rPr>
        <w:t>6.3</w:t>
      </w:r>
      <w:r>
        <w:rPr>
          <w:rFonts w:hint="eastAsia" w:ascii="仿宋_GB2312" w:hAnsi="仿宋_GB2312" w:eastAsia="仿宋_GB2312" w:cs="仿宋_GB2312"/>
          <w:b w:val="0"/>
          <w:bCs w:val="0"/>
          <w:sz w:val="32"/>
          <w:szCs w:val="32"/>
        </w:rPr>
        <w:t>万元，完成年初预算的</w:t>
      </w:r>
      <w:r>
        <w:rPr>
          <w:rFonts w:hint="eastAsia" w:ascii="仿宋_GB2312" w:hAnsi="仿宋_GB2312" w:eastAsia="仿宋_GB2312" w:cs="仿宋_GB2312"/>
          <w:b w:val="0"/>
          <w:bCs w:val="0"/>
          <w:sz w:val="32"/>
          <w:szCs w:val="32"/>
          <w:lang w:val="en-US" w:eastAsia="zh-CN"/>
        </w:rPr>
        <w:t>102.77</w:t>
      </w:r>
      <w:r>
        <w:rPr>
          <w:rFonts w:hint="eastAsia" w:ascii="仿宋_GB2312" w:hAnsi="仿宋_GB2312" w:eastAsia="仿宋_GB2312" w:cs="仿宋_GB2312"/>
          <w:b w:val="0"/>
          <w:bCs w:val="0"/>
          <w:sz w:val="32"/>
          <w:szCs w:val="32"/>
        </w:rPr>
        <w:t>%。决算数与年初预算数存在差异的主要原因是</w:t>
      </w:r>
      <w:r>
        <w:rPr>
          <w:rFonts w:hint="eastAsia" w:ascii="仿宋_GB2312" w:hAnsi="仿宋_GB2312" w:eastAsia="仿宋_GB2312" w:cs="仿宋_GB2312"/>
          <w:sz w:val="32"/>
          <w:szCs w:val="32"/>
          <w:lang w:val="en-US" w:eastAsia="zh-CN"/>
        </w:rPr>
        <w:t>单位人员调整及工资基数调整。</w:t>
      </w:r>
    </w:p>
    <w:p>
      <w:pPr>
        <w:widowControl/>
        <w:spacing w:line="590" w:lineRule="exact"/>
        <w:ind w:firstLine="640" w:firstLineChars="200"/>
        <w:rPr>
          <w:rFonts w:hint="eastAsia" w:ascii="仿宋_GB2312" w:hAnsi="仿宋_GB2312" w:eastAsia="仿宋_GB2312" w:cs="仿宋_GB2312"/>
          <w:b w:val="0"/>
          <w:bCs w:val="0"/>
          <w:sz w:val="32"/>
          <w:szCs w:val="32"/>
        </w:rPr>
      </w:pP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2021年</w:t>
      </w:r>
      <w:r>
        <w:rPr>
          <w:rFonts w:hint="eastAsia" w:ascii="仿宋_GB2312" w:hAnsi="仿宋_GB2312" w:eastAsia="仿宋_GB2312" w:cs="仿宋_GB2312"/>
          <w:sz w:val="32"/>
          <w:szCs w:val="32"/>
          <w:highlight w:val="none"/>
        </w:rPr>
        <w:t>度一般公共预算财政拨款基本支出</w:t>
      </w:r>
      <w:r>
        <w:rPr>
          <w:rFonts w:hint="eastAsia" w:ascii="仿宋_GB2312" w:hAnsi="仿宋_GB2312" w:eastAsia="仿宋_GB2312" w:cs="仿宋_GB2312"/>
          <w:sz w:val="32"/>
          <w:szCs w:val="32"/>
          <w:highlight w:val="none"/>
          <w:lang w:val="en-US" w:eastAsia="zh-CN"/>
        </w:rPr>
        <w:t>126.36</w:t>
      </w:r>
      <w:r>
        <w:rPr>
          <w:rFonts w:hint="eastAsia" w:ascii="仿宋_GB2312" w:hAnsi="仿宋_GB2312" w:eastAsia="仿宋_GB2312" w:cs="仿宋_GB2312"/>
          <w:sz w:val="32"/>
          <w:szCs w:val="32"/>
          <w:highlight w:val="none"/>
        </w:rPr>
        <w:t>万元。与上年度相比，减少</w:t>
      </w:r>
      <w:r>
        <w:rPr>
          <w:rFonts w:hint="eastAsia" w:ascii="仿宋_GB2312" w:hAnsi="仿宋_GB2312" w:eastAsia="仿宋_GB2312" w:cs="仿宋_GB2312"/>
          <w:sz w:val="32"/>
          <w:szCs w:val="32"/>
          <w:highlight w:val="none"/>
          <w:lang w:val="en-US" w:eastAsia="zh-CN"/>
        </w:rPr>
        <w:t>1033.01</w:t>
      </w:r>
      <w:r>
        <w:rPr>
          <w:rFonts w:hint="eastAsia" w:ascii="仿宋_GB2312" w:hAnsi="仿宋_GB2312" w:eastAsia="仿宋_GB2312" w:cs="仿宋_GB2312"/>
          <w:sz w:val="32"/>
          <w:szCs w:val="32"/>
          <w:highlight w:val="none"/>
        </w:rPr>
        <w:t>万元，下降</w:t>
      </w:r>
      <w:r>
        <w:rPr>
          <w:rFonts w:hint="eastAsia" w:ascii="仿宋_GB2312" w:hAnsi="仿宋_GB2312" w:eastAsia="仿宋_GB2312" w:cs="仿宋_GB2312"/>
          <w:sz w:val="32"/>
          <w:szCs w:val="32"/>
          <w:highlight w:val="none"/>
          <w:lang w:val="en-US" w:eastAsia="zh-CN"/>
        </w:rPr>
        <w:t>89.1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val="en-US" w:eastAsia="zh-CN"/>
        </w:rPr>
        <w:t>2020年，财政出资设立的“科技贷”风险补偿金共1000万元，按要求放在本单位账户下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另外33.01万元则由于人员调整造成。</w:t>
      </w:r>
      <w:r>
        <w:rPr>
          <w:rFonts w:hint="eastAsia" w:ascii="仿宋_GB2312" w:hAnsi="仿宋_GB2312" w:eastAsia="仿宋_GB2312" w:cs="仿宋_GB2312"/>
          <w:sz w:val="32"/>
          <w:szCs w:val="32"/>
        </w:rPr>
        <w:t>其中：人员经费</w:t>
      </w:r>
      <w:r>
        <w:rPr>
          <w:rFonts w:hint="eastAsia" w:ascii="仿宋_GB2312" w:hAnsi="仿宋_GB2312" w:eastAsia="仿宋_GB2312" w:cs="仿宋_GB2312"/>
          <w:sz w:val="32"/>
          <w:szCs w:val="32"/>
          <w:lang w:val="en-US" w:eastAsia="zh-CN"/>
        </w:rPr>
        <w:t>121.88</w:t>
      </w:r>
      <w:r>
        <w:rPr>
          <w:rFonts w:hint="eastAsia" w:ascii="仿宋_GB2312" w:hAnsi="仿宋_GB2312" w:eastAsia="仿宋_GB2312"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退职（役）费、抚恤金、生活补助、救济费、医疗费补助、助学金、奖励金、其他对个人和家庭的补助支出；公用经费</w:t>
      </w:r>
      <w:r>
        <w:rPr>
          <w:rFonts w:hint="eastAsia" w:ascii="仿宋_GB2312" w:hAnsi="仿宋_GB2312" w:eastAsia="仿宋_GB2312" w:cs="仿宋_GB2312"/>
          <w:sz w:val="32"/>
          <w:szCs w:val="32"/>
          <w:lang w:val="en-US" w:eastAsia="zh-CN"/>
        </w:rPr>
        <w:t>4.48</w:t>
      </w:r>
      <w:r>
        <w:rPr>
          <w:rFonts w:hint="eastAsia" w:ascii="仿宋_GB2312" w:hAnsi="仿宋_GB2312" w:eastAsia="仿宋_GB2312" w:cs="仿宋_GB2312"/>
          <w:sz w:val="32"/>
          <w:szCs w:val="32"/>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国内债务付息、办公设备购置、专用设备购置、信息网络及软件购置更新、公务用车购置、其他交通工具购置、文物和陈列品购置、无形资产购置、其他资本性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七、一般公共预算财政拨款“三公”经费支出决算情况说明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（一）“三公”经费财政拨款支出决算总体情况说明。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度“三公”经费财政拨款支出预算为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%。2021 年度“三公”经费支出决算数与预算数差异原因为本单位年度无三公经费支出。</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1．因公出国（境）费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%。决算数与预算数存在差异的主要原因是本年度无此项公务支出。</w:t>
      </w:r>
      <w:r>
        <w:rPr>
          <w:rFonts w:hint="eastAsia" w:ascii="仿宋_GB2312" w:hAnsi="仿宋_GB2312" w:eastAsia="仿宋_GB2312" w:cs="仿宋_GB2312"/>
          <w:sz w:val="32"/>
          <w:szCs w:val="32"/>
          <w:u w:val="wave"/>
        </w:rPr>
        <w:t>全年因公出国（境）团组</w:t>
      </w:r>
      <w:r>
        <w:rPr>
          <w:rFonts w:hint="eastAsia" w:ascii="仿宋_GB2312" w:hAnsi="仿宋_GB2312" w:eastAsia="仿宋_GB2312" w:cs="仿宋_GB2312"/>
          <w:sz w:val="32"/>
          <w:szCs w:val="32"/>
          <w:u w:val="wave"/>
          <w:lang w:val="en-US" w:eastAsia="zh-CN"/>
        </w:rPr>
        <w:t>0</w:t>
      </w:r>
      <w:r>
        <w:rPr>
          <w:rFonts w:hint="eastAsia" w:ascii="仿宋_GB2312" w:hAnsi="仿宋_GB2312" w:eastAsia="仿宋_GB2312" w:cs="仿宋_GB2312"/>
          <w:sz w:val="32"/>
          <w:szCs w:val="32"/>
          <w:u w:val="wave"/>
        </w:rPr>
        <w:t>个，累计</w:t>
      </w:r>
      <w:r>
        <w:rPr>
          <w:rFonts w:hint="eastAsia" w:ascii="仿宋_GB2312" w:hAnsi="仿宋_GB2312" w:eastAsia="仿宋_GB2312" w:cs="仿宋_GB2312"/>
          <w:sz w:val="32"/>
          <w:szCs w:val="32"/>
          <w:u w:val="wave"/>
          <w:lang w:val="en-US" w:eastAsia="zh-CN"/>
        </w:rPr>
        <w:t>0</w:t>
      </w:r>
      <w:r>
        <w:rPr>
          <w:rFonts w:hint="eastAsia" w:ascii="仿宋_GB2312" w:hAnsi="仿宋_GB2312" w:eastAsia="仿宋_GB2312" w:cs="仿宋_GB2312"/>
          <w:sz w:val="32"/>
          <w:szCs w:val="32"/>
          <w:u w:val="wave"/>
        </w:rPr>
        <w:t>人次。</w:t>
      </w:r>
      <w:r>
        <w:rPr>
          <w:rFonts w:hint="eastAsia" w:ascii="仿宋_GB2312" w:hAnsi="仿宋_GB2312" w:eastAsia="仿宋_GB2312" w:cs="仿宋_GB2312"/>
          <w:sz w:val="32"/>
          <w:szCs w:val="32"/>
        </w:rPr>
        <w:t>开支内容包括：</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%。决算数与预算数存在差异的主要原因是是本年度无此项公务支出。其中：</w:t>
      </w:r>
    </w:p>
    <w:p>
      <w:pPr>
        <w:widowControl/>
        <w:spacing w:line="59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公务用车购置支出</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万元，购置车辆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公务用车运行支出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期末，部门开支财政拨款的公务用车保有量为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%。决算数与预算数存在差异的主要原因是是本年度无此项公务支出。其中：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外宾接待支出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共接待国（境）外来访团组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个、来访外宾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其他国内公务接待支出</w:t>
      </w:r>
      <w:r>
        <w:rPr>
          <w:rFonts w:hint="eastAsia" w:ascii="仿宋_GB2312" w:hAnsi="仿宋_GB2312" w:eastAsia="仿宋_GB2312" w:cs="仿宋_GB2312"/>
          <w:b/>
          <w:bCs/>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共接待国内来访团组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八、预算绩效情况说明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（一）绩效管理工作开展情况。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2021年，我部门（单位）纳入预算绩效管理的支出总额为0万元，其中人员经费支出0万元，公用经费支出0万元；支出项目共0个，支出金额0万元。其中，进行项目绩效自评0个，自评金额0万元；纳入重点绩效评价（部门评价或财政评价）0个，评价金额0万元。</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（二）项目绩效自评结果。</w:t>
      </w:r>
    </w:p>
    <w:p>
      <w:pPr>
        <w:widowControl/>
        <w:spacing w:line="59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因我单位无项目预算，故本单位无项目绩效自评</w:t>
      </w:r>
      <w:r>
        <w:rPr>
          <w:rFonts w:hint="eastAsia" w:ascii="仿宋_GB2312" w:hAnsi="仿宋_GB2312" w:eastAsia="仿宋_GB2312" w:cs="仿宋_GB2312"/>
          <w:sz w:val="32"/>
          <w:szCs w:val="32"/>
          <w:lang w:eastAsia="zh-CN"/>
        </w:rPr>
        <w:t>。</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（三）重点绩效评价结果。</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因我单位无项目预算，故本单位无项目绩效自评。</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九、政府性基金预算财政拨款支出决算情况说明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度政府性基金预算财政拨款支出年初预算为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%。主要原因：我部门 2021 年度没有政府性基金收入，也没有使用政府性基金安排的支出。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十、机关运行经费支出情况说明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度机关运行经费</w:t>
      </w:r>
      <w:r>
        <w:rPr>
          <w:rFonts w:hint="eastAsia" w:ascii="仿宋_GB2312" w:hAnsi="仿宋_GB2312" w:eastAsia="仿宋_GB2312" w:cs="仿宋_GB2312"/>
          <w:sz w:val="32"/>
          <w:szCs w:val="32"/>
          <w:u w:val="dotDash"/>
        </w:rPr>
        <w:t>年</w:t>
      </w:r>
      <w:r>
        <w:rPr>
          <w:rFonts w:hint="eastAsia" w:ascii="仿宋_GB2312" w:hAnsi="仿宋_GB2312" w:eastAsia="仿宋_GB2312" w:cs="仿宋_GB2312"/>
          <w:sz w:val="32"/>
          <w:szCs w:val="32"/>
        </w:rPr>
        <w:t>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%。决算数与年初预算数存在差异的主要原因是是我单位不是行政机关，也不是参照公务员管理事业单位，没有机关运行经费支出。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十一、政府采购支出情况说明</w:t>
      </w:r>
    </w:p>
    <w:p>
      <w:pPr>
        <w:widowControl/>
        <w:spacing w:line="59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度政府采购支出总额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十二、国有资产占用情况说明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2021年</w:t>
      </w:r>
      <w:r>
        <w:rPr>
          <w:rFonts w:hint="eastAsia" w:ascii="仿宋_GB2312" w:hAnsi="仿宋_GB2312" w:eastAsia="仿宋_GB2312" w:cs="仿宋_GB2312"/>
          <w:sz w:val="32"/>
          <w:szCs w:val="32"/>
        </w:rPr>
        <w:t>期末，我部门共有车辆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辆，其中：省级领导干部用车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辆、应急保障车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辆、离退休干部用车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辆；单位价值50万元以上通用设备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widowControl/>
        <w:jc w:val="left"/>
        <w:rPr>
          <w:rFonts w:hint="eastAsia" w:ascii="楷体_GB2312" w:hAnsi="楷体_GB2312" w:eastAsia="楷体_GB2312" w:cs="楷体_GB2312"/>
          <w:sz w:val="32"/>
          <w:szCs w:val="32"/>
        </w:rPr>
        <w:sectPr>
          <w:pgSz w:w="11906" w:h="16838"/>
          <w:pgMar w:top="1440" w:right="1800" w:bottom="1440" w:left="1800" w:header="720" w:footer="720" w:gutter="0"/>
          <w:pgNumType w:fmt="numberInDash"/>
          <w:cols w:space="720" w:num="1"/>
          <w:docGrid w:type="lines" w:linePitch="312"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第四部分  名词解释</w:t>
      </w:r>
    </w:p>
    <w:p>
      <w:pPr>
        <w:jc w:val="center"/>
        <w:rPr>
          <w:rFonts w:hint="eastAsia" w:ascii="黑体" w:hAnsi="黑体" w:eastAsia="黑体" w:cs="黑体"/>
          <w:sz w:val="48"/>
          <w:szCs w:val="48"/>
        </w:rPr>
      </w:pPr>
    </w:p>
    <w:p>
      <w:pPr>
        <w:jc w:val="center"/>
        <w:outlineLvl w:val="0"/>
        <w:rPr>
          <w:rFonts w:hint="eastAsia" w:ascii="黑体" w:hAnsi="黑体" w:eastAsia="黑体" w:cs="黑体"/>
          <w:sz w:val="48"/>
          <w:szCs w:val="48"/>
        </w:rPr>
        <w:sectPr>
          <w:pgSz w:w="11906" w:h="16838"/>
          <w:pgMar w:top="1440" w:right="1531" w:bottom="1440" w:left="1587" w:header="850" w:footer="992" w:gutter="0"/>
          <w:pgNumType w:fmt="numberInDash"/>
          <w:cols w:space="720" w:num="1"/>
          <w:docGrid w:type="lines" w:linePitch="317" w:charSpace="0"/>
        </w:sectPr>
      </w:pP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一、财政拨款收入：单位从同级政府财政部门取得的财政预算资金。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二、事业收入：事业单位开展专业业务活动及其辅助活动取得的收入。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三、上级补助收入：事业单位从主管部门和上级单位取得的非财政补助收入。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四、附属单位上缴收入：事业单位取得附属独立核算单位根据有关规定上缴的收入。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五、经营收入：事业单位在专业业务活动及其辅助活动之外开展非独立核算经营活动取得的收入。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六、其他收入：单位取得的除“财政拨款收入”、“事业收入”、“上级补助收入”、“附属单位上缴收入”、“经营收入”以外的各项收入。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用事业基金弥补收支差额：事业单位在当年收入不足以安排当年支出的情况下，使用以前年度积累的事业基金（事业单位当年收支相抵后按国家规定提取、用于弥补以后年度收支差额的基金）弥补当年收支缺口的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八、基本支出：为保障机构正常运转、完成日常工作任务而发生的人员支出和公用支出。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九、项目支出：基本支出之外为完成特定行政任务和事业发展目标所发生的支出。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十二、工资福利支出：单位支付给在职职工和编制外长期聘用人员的各类劳动报酬，以及为上述人员缴纳的各项社会保险费等。</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十三、商品和服务支出：单位购买商品和服务的支出。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十四、对个人和家庭的补助支出：单位用于对个人和家庭的补助支出。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十五、年末结转：本年度或以前年度预算安排，已执行但尚未完成或因客观条件发生变化无法按原计划实施，需延迟到以后年度按有关规定继续使用的资金。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十六、年末结余：本年度或以前年度预算安排，已执行完毕或因客观条件发生变化无法按原预算安排实施，不需要再使用或无法按原预算安排继续使用的资金</w:t>
      </w:r>
    </w:p>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Algerian">
    <w:panose1 w:val="04020705040A02060702"/>
    <w:charset w:val="00"/>
    <w:family w:val="auto"/>
    <w:pitch w:val="default"/>
    <w:sig w:usb0="00000003" w:usb1="00000000" w:usb2="00000000" w:usb3="00000000" w:csb0="20000001" w:csb1="00000000"/>
  </w:font>
  <w:font w:name="Yu Gothic UI Semilight">
    <w:panose1 w:val="020B0400000000000000"/>
    <w:charset w:val="80"/>
    <w:family w:val="auto"/>
    <w:pitch w:val="default"/>
    <w:sig w:usb0="E00002FF" w:usb1="2AC7FDFF" w:usb2="00000016" w:usb3="00000000" w:csb0="2002009F" w:csb1="00000000"/>
  </w:font>
  <w:font w:name="隶书">
    <w:panose1 w:val="0201050906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gency FB">
    <w:panose1 w:val="020B0503020202020204"/>
    <w:charset w:val="00"/>
    <w:family w:val="auto"/>
    <w:pitch w:val="default"/>
    <w:sig w:usb0="00000003" w:usb1="00000000" w:usb2="00000000" w:usb3="00000000" w:csb0="20000001" w:csb1="00000000"/>
  </w:font>
  <w:font w:name="Yu Gothic UI Light">
    <w:panose1 w:val="020B03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- 21 -</w:t>
                          </w:r>
                          <w:r>
                            <w:rPr>
                              <w:rFonts w:hint="eastAsia"/>
                              <w:sz w:val="18"/>
                            </w:rPr>
                            <w:fldChar w:fldCharType="end"/>
                          </w:r>
                        </w:p>
                      </w:txbxContent>
                    </wps:txbx>
                    <wps:bodyPr wrap="none" lIns="0" tIns="0" rIns="0" bIns="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wF90idMBAAClAwAADgAAAAAAAAABACAAAAAeAQAA&#10;ZHJzL2Uyb0RvYy54bWxQSwUGAAAAAAYABgBZAQAAYw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- 21 -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&#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OPeVx/UAQAApQMAAA4AAAAAAAAAAQAgAAAAHgEA&#10;AGRycy9lMm9Eb2MueG1sUEsFBgAAAAAGAAYAWQEAAGQFA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- 22 -</w:t>
                          </w:r>
                          <w:r>
                            <w:rPr>
                              <w:rFonts w:hint="eastAsia"/>
                              <w:sz w:val="18"/>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ql5uc8AAAAFAQAADwAAAAAAAAABACAAAAAiAAAAZHJz&#10;L2Rvd25yZXYueG1sUEsBAhQAFAAAAAgAh07iQBuuGmrUAQAApQMAAA4AAAAAAAAAAQAgAAAAHgEA&#10;AGRycy9lMm9Eb2MueG1sUEsFBgAAAAAGAAYAWQEAAGQFA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- 22 -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1BE17"/>
    <w:multiLevelType w:val="singleLevel"/>
    <w:tmpl w:val="5971BE1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WZmNDg1ZjhjNzg5NGQ5Yjk2YTAwOWVhNjkxMjAifQ=="/>
  </w:docVars>
  <w:rsids>
    <w:rsidRoot w:val="00000000"/>
    <w:rsid w:val="068A502B"/>
    <w:rsid w:val="09D83026"/>
    <w:rsid w:val="16DE2A14"/>
    <w:rsid w:val="18681E03"/>
    <w:rsid w:val="1FA263AD"/>
    <w:rsid w:val="21DC286A"/>
    <w:rsid w:val="240E06F2"/>
    <w:rsid w:val="2750185C"/>
    <w:rsid w:val="2C250F60"/>
    <w:rsid w:val="2D5347F6"/>
    <w:rsid w:val="34BB2AED"/>
    <w:rsid w:val="38C84E9F"/>
    <w:rsid w:val="3E4C25CA"/>
    <w:rsid w:val="4701142B"/>
    <w:rsid w:val="497A2108"/>
    <w:rsid w:val="4CAF7561"/>
    <w:rsid w:val="4EFC09E4"/>
    <w:rsid w:val="587F2E51"/>
    <w:rsid w:val="6F570B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annotation reference"/>
    <w:basedOn w:val="5"/>
    <w:qFormat/>
    <w:uiPriority w:val="0"/>
    <w:rPr>
      <w:sz w:val="21"/>
      <w:szCs w:val="21"/>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01"/>
    <w:basedOn w:val="5"/>
    <w:qFormat/>
    <w:uiPriority w:val="0"/>
    <w:rPr>
      <w:rFonts w:hint="eastAsia" w:ascii="宋体" w:hAnsi="宋体" w:eastAsia="宋体" w:cs="宋体"/>
      <w:color w:val="000000"/>
      <w:sz w:val="22"/>
      <w:szCs w:val="22"/>
      <w:u w:val="none"/>
    </w:rPr>
  </w:style>
  <w:style w:type="character" w:customStyle="1" w:styleId="9">
    <w:name w:val="font51"/>
    <w:basedOn w:val="5"/>
    <w:qFormat/>
    <w:uiPriority w:val="0"/>
    <w:rPr>
      <w:rFonts w:hint="eastAsia" w:ascii="宋体" w:hAnsi="宋体" w:eastAsia="宋体" w:cs="宋体"/>
      <w:color w:val="000000"/>
      <w:sz w:val="24"/>
      <w:szCs w:val="24"/>
      <w:u w:val="none"/>
    </w:rPr>
  </w:style>
  <w:style w:type="character" w:customStyle="1" w:styleId="10">
    <w:name w:val="font4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7300</Words>
  <Characters>8642</Characters>
  <Lines>0</Lines>
  <Paragraphs>0</Paragraphs>
  <TotalTime>7</TotalTime>
  <ScaleCrop>false</ScaleCrop>
  <LinksUpToDate>false</LinksUpToDate>
  <CharactersWithSpaces>9058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阿Jo</cp:lastModifiedBy>
  <dcterms:modified xsi:type="dcterms:W3CDTF">2023-06-27T08:25:42Z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1A6E5C3604444F02B3076061275A6BEE_13</vt:lpwstr>
  </property>
</Properties>
</file>